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AE1" w:rsidP="29E8F57C" w:rsidRDefault="29E8F57C" w14:paraId="00000001" w14:textId="2637D4D6">
      <w:pPr>
        <w:pStyle w:val="Normal0"/>
        <w:spacing w:before="240" w:after="60" w:line="240" w:lineRule="auto"/>
        <w:ind w:left="720"/>
        <w:jc w:val="center"/>
        <w:rPr>
          <w:rFonts w:ascii="Arial" w:hAnsi="Arial" w:eastAsia="Arial" w:cs="Arial"/>
          <w:b/>
          <w:bCs/>
          <w:smallCaps/>
          <w:color w:val="000000"/>
        </w:rPr>
      </w:pPr>
      <w:r w:rsidRPr="29E8F57C">
        <w:rPr>
          <w:rFonts w:ascii="Arial" w:hAnsi="Arial" w:eastAsia="Arial" w:cs="Arial"/>
          <w:b/>
          <w:bCs/>
          <w:smallCaps/>
          <w:color w:val="000000" w:themeColor="text1"/>
        </w:rPr>
        <w:t>CARACTERIZACIÓN GESTIÓN DE COMUNIDAD (PROYECCIÓN</w:t>
      </w:r>
      <w:r w:rsidRPr="29E8F57C">
        <w:rPr>
          <w:rFonts w:ascii="Arial" w:hAnsi="Arial" w:eastAsia="Arial" w:cs="Arial"/>
          <w:b/>
          <w:bCs/>
          <w:smallCaps/>
        </w:rPr>
        <w:t xml:space="preserve"> A LA COMUNIDAD</w:t>
      </w:r>
      <w:r w:rsidRPr="29E8F57C">
        <w:rPr>
          <w:rFonts w:ascii="Arial" w:hAnsi="Arial" w:eastAsia="Arial" w:cs="Arial"/>
          <w:b/>
          <w:bCs/>
          <w:smallCaps/>
          <w:color w:val="000000" w:themeColor="text1"/>
        </w:rPr>
        <w:t>) 2023</w:t>
      </w:r>
    </w:p>
    <w:p w:rsidR="00DC6AE1" w:rsidRDefault="00DC6AE1" w14:paraId="00000002" w14:textId="77777777">
      <w:pPr>
        <w:pStyle w:val="Normal0"/>
        <w:spacing w:before="240" w:after="60" w:line="240" w:lineRule="auto"/>
        <w:ind w:left="72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</w:p>
    <w:tbl>
      <w:tblPr>
        <w:tblStyle w:val="a"/>
        <w:tblW w:w="8828" w:type="dxa"/>
        <w:tblLayout w:type="fixed"/>
        <w:tblLook w:val="0400" w:firstRow="0" w:lastRow="0" w:firstColumn="0" w:lastColumn="0" w:noHBand="0" w:noVBand="1"/>
      </w:tblPr>
      <w:tblGrid>
        <w:gridCol w:w="4027"/>
        <w:gridCol w:w="4801"/>
      </w:tblGrid>
      <w:tr w:rsidR="00DC6AE1" w:rsidTr="43521C29" w14:paraId="5D5DCE50" w14:textId="77777777">
        <w:tc>
          <w:tcPr>
            <w:tcW w:w="8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03" w14:textId="77777777">
            <w:pPr>
              <w:pStyle w:val="Normal0"/>
              <w:spacing w:line="240" w:lineRule="auto"/>
              <w:ind w:right="-13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Objetivo: </w:t>
            </w:r>
          </w:p>
        </w:tc>
      </w:tr>
      <w:tr w:rsidR="00DC6AE1" w:rsidTr="43521C29" w14:paraId="0F05EA2A" w14:textId="77777777">
        <w:tc>
          <w:tcPr>
            <w:tcW w:w="8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05" w14:textId="18B90337">
            <w:pPr>
              <w:pStyle w:val="Normal0"/>
              <w:spacing w:line="240" w:lineRule="auto"/>
              <w:ind w:right="-13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Promover la participación y el bienestar de la comunidad, a través de la formación integral, oferta de servicios (Proyección </w:t>
            </w:r>
            <w:r>
              <w:rPr>
                <w:rFonts w:ascii="Arial" w:hAnsi="Arial" w:eastAsia="Arial" w:cs="Arial"/>
              </w:rPr>
              <w:t>a la comunidad</w:t>
            </w:r>
            <w:r>
              <w:rPr>
                <w:rFonts w:ascii="Arial" w:hAnsi="Arial" w:eastAsia="Arial" w:cs="Arial"/>
                <w:color w:val="000000"/>
              </w:rPr>
              <w:t>) como la orientación escolar, la biblioteca y la tienda escolar, para lograr la satisfacción de la comunidad educat</w:t>
            </w:r>
            <w:r>
              <w:rPr>
                <w:rFonts w:ascii="Arial" w:hAnsi="Arial" w:eastAsia="Arial" w:cs="Arial"/>
                <w:color w:val="000000"/>
              </w:rPr>
              <w:t>iva.</w:t>
            </w:r>
          </w:p>
        </w:tc>
      </w:tr>
      <w:tr w:rsidR="00DC6AE1" w:rsidTr="43521C29" w14:paraId="5E164206" w14:textId="77777777">
        <w:tc>
          <w:tcPr>
            <w:tcW w:w="8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07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Alcance: </w:t>
            </w:r>
          </w:p>
        </w:tc>
      </w:tr>
      <w:tr w:rsidR="00DC6AE1" w:rsidTr="43521C29" w14:paraId="30423ED9" w14:textId="77777777">
        <w:tc>
          <w:tcPr>
            <w:tcW w:w="8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7BACD027" w14:paraId="00000009" w14:textId="0F54CCC1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Este proceso hace </w:t>
            </w:r>
            <w:r>
              <w:rPr>
                <w:rFonts w:ascii="Arial" w:hAnsi="Arial" w:eastAsia="Arial" w:cs="Arial"/>
              </w:rPr>
              <w:t>acompañamiento a</w:t>
            </w:r>
            <w:r>
              <w:rPr>
                <w:rFonts w:ascii="Arial" w:hAnsi="Arial" w:eastAsia="Arial" w:cs="Arial"/>
                <w:color w:val="000000"/>
              </w:rPr>
              <w:t xml:space="preserve"> los servicios de formación Integral de la orientación escolar, la biblioteca y de los servicios prestados por externos, como lo </w:t>
            </w:r>
            <w:r>
              <w:rPr>
                <w:rFonts w:ascii="Arial" w:hAnsi="Arial" w:eastAsia="Arial" w:cs="Arial"/>
              </w:rPr>
              <w:t>es</w:t>
            </w:r>
            <w:r>
              <w:rPr>
                <w:rFonts w:ascii="Arial" w:hAnsi="Arial" w:eastAsia="Arial" w:cs="Arial"/>
                <w:color w:val="000000"/>
              </w:rPr>
              <w:t xml:space="preserve"> la tienda escolar. Se hace seguimiento a la prestación de estos servicios mediante la encuesta de satisfacción institucional. </w:t>
            </w:r>
          </w:p>
        </w:tc>
      </w:tr>
      <w:tr w:rsidR="00DC6AE1" w:rsidTr="43521C29" w14:paraId="66E38F2C" w14:textId="77777777">
        <w:trPr>
          <w:trHeight w:val="70"/>
        </w:trPr>
        <w:tc>
          <w:tcPr>
            <w:tcW w:w="40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0B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Responsable: </w:t>
            </w:r>
          </w:p>
        </w:tc>
        <w:tc>
          <w:tcPr>
            <w:tcW w:w="4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0C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Participantes:</w:t>
            </w:r>
          </w:p>
        </w:tc>
      </w:tr>
      <w:tr w:rsidR="00DC6AE1" w:rsidTr="43521C29" w14:paraId="4FB8BF3D" w14:textId="77777777">
        <w:tc>
          <w:tcPr>
            <w:tcW w:w="40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P="43521C29" w:rsidRDefault="005A41E1" w14:paraId="0000000D" w14:textId="3DEF9E8F">
            <w:pPr>
              <w:pStyle w:val="Normal0"/>
              <w:spacing w:line="240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43521C29" w:rsidR="43521C29">
              <w:rPr>
                <w:rFonts w:ascii="Arial" w:hAnsi="Arial" w:eastAsia="Arial" w:cs="Arial"/>
                <w:color w:val="000000" w:themeColor="text1" w:themeTint="FF" w:themeShade="FF"/>
              </w:rPr>
              <w:t>Coordinador</w:t>
            </w:r>
            <w:r w:rsidRPr="43521C29" w:rsidR="43521C29">
              <w:rPr>
                <w:rFonts w:ascii="Arial" w:hAnsi="Arial" w:eastAsia="Arial" w:cs="Arial"/>
              </w:rPr>
              <w:t>es de convivencia de primaria .</w:t>
            </w:r>
          </w:p>
        </w:tc>
        <w:tc>
          <w:tcPr>
            <w:tcW w:w="4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0E" w14:textId="24479343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521C29" w:rsidR="43521C29">
              <w:rPr>
                <w:rFonts w:ascii="Arial" w:hAnsi="Arial" w:eastAsia="Arial" w:cs="Arial"/>
                <w:color w:val="000000" w:themeColor="text1" w:themeTint="FF" w:themeShade="FF"/>
              </w:rPr>
              <w:t>Rector, Coordinadores, Docente orientadora, Maestros, Padres de Familia, Estudiantes, Personal administrativo, de apoyo y comunidad en general</w:t>
            </w:r>
          </w:p>
        </w:tc>
      </w:tr>
      <w:tr w:rsidR="00DC6AE1" w:rsidTr="43521C29" w14:paraId="4A4DF4E4" w14:textId="77777777">
        <w:tc>
          <w:tcPr>
            <w:tcW w:w="40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0F" w14:textId="77777777">
            <w:pPr>
              <w:pStyle w:val="Normal0"/>
              <w:spacing w:line="240" w:lineRule="auto"/>
              <w:ind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Factores claves del éxito:</w:t>
            </w:r>
          </w:p>
        </w:tc>
        <w:tc>
          <w:tcPr>
            <w:tcW w:w="4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10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Indicadores: </w:t>
            </w:r>
          </w:p>
        </w:tc>
      </w:tr>
      <w:tr w:rsidR="00DC6AE1" w:rsidTr="43521C29" w14:paraId="00969F59" w14:textId="77777777">
        <w:tc>
          <w:tcPr>
            <w:tcW w:w="40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11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Prestación de servicio oportuno</w:t>
            </w:r>
          </w:p>
          <w:p w:rsidR="00DC6AE1" w:rsidRDefault="005A41E1" w14:paraId="00000012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Ética profesional </w:t>
            </w:r>
          </w:p>
          <w:p w:rsidR="00DC6AE1" w:rsidRDefault="005A41E1" w14:paraId="00000013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Acceso fácil y rápido a la información </w:t>
            </w:r>
          </w:p>
          <w:p w:rsidR="00DC6AE1" w:rsidRDefault="005A41E1" w14:paraId="00000014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Flexibilidad en los servicios</w:t>
            </w:r>
          </w:p>
          <w:p w:rsidR="00DC6AE1" w:rsidRDefault="005A41E1" w14:paraId="00000015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Participación de los estudiantes</w:t>
            </w:r>
          </w:p>
          <w:p w:rsidR="00DC6AE1" w:rsidRDefault="005A41E1" w14:paraId="00000016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Coordinación con los demás procesos</w:t>
            </w:r>
          </w:p>
          <w:p w:rsidR="00DC6AE1" w:rsidRDefault="005A41E1" w14:paraId="00000017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Acompañamiento familiar</w:t>
            </w:r>
          </w:p>
          <w:p w:rsidR="00DC6AE1" w:rsidRDefault="005A41E1" w14:paraId="00000018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Espacios de reflexión</w:t>
            </w:r>
          </w:p>
          <w:p w:rsidR="00DC6AE1" w:rsidRDefault="005A41E1" w14:paraId="00000019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Adecuada infraestructura</w:t>
            </w:r>
          </w:p>
        </w:tc>
        <w:tc>
          <w:tcPr>
            <w:tcW w:w="4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AE1" w:rsidRDefault="005A41E1" w14:paraId="0000001A" w14:textId="77777777">
            <w:pPr>
              <w:pStyle w:val="Normal0"/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</w:p>
          <w:p w:rsidR="00DC6AE1" w:rsidRDefault="005A41E1" w14:paraId="0000001B" w14:textId="77777777">
            <w:pPr>
              <w:pStyle w:val="Normal0"/>
              <w:spacing w:line="240" w:lineRule="auto"/>
              <w:ind w:right="-136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Satisfacción de los usuarios</w:t>
            </w:r>
          </w:p>
          <w:p w:rsidR="00DC6AE1" w:rsidRDefault="00DC6AE1" w14:paraId="0000001C" w14:textId="77777777">
            <w:pPr>
              <w:pStyle w:val="Normal0"/>
              <w:spacing w:line="240" w:lineRule="auto"/>
              <w:ind w:right="-136"/>
              <w:jc w:val="both"/>
              <w:rPr>
                <w:rFonts w:ascii="Arial" w:hAnsi="Arial" w:eastAsia="Arial" w:cs="Arial"/>
              </w:rPr>
            </w:pPr>
          </w:p>
          <w:p w:rsidR="00DC6AE1" w:rsidRDefault="00887EC8" w14:paraId="0000001D" w14:textId="3B744A72">
            <w:pPr>
              <w:pStyle w:val="Normal0"/>
              <w:spacing w:line="240" w:lineRule="auto"/>
              <w:ind w:right="-136"/>
              <w:jc w:val="both"/>
              <w:rPr>
                <w:rFonts w:ascii="Arial" w:hAnsi="Arial" w:eastAsia="Arial" w:cs="Arial"/>
              </w:rPr>
            </w:pPr>
            <w:r w:rsidRPr="3EE5BBD8">
              <w:rPr>
                <w:rFonts w:ascii="Arial" w:hAnsi="Arial" w:eastAsia="Arial" w:cs="Arial"/>
              </w:rPr>
              <w:t xml:space="preserve"> </w:t>
            </w:r>
            <w:r w:rsidRPr="3EE5BBD8" w:rsidR="1DFBA470">
              <w:rPr>
                <w:rFonts w:ascii="Arial" w:hAnsi="Arial" w:eastAsia="Arial" w:cs="Arial"/>
              </w:rPr>
              <w:t>Número</w:t>
            </w:r>
            <w:r w:rsidRPr="3EE5BBD8">
              <w:rPr>
                <w:rFonts w:ascii="Arial" w:hAnsi="Arial" w:eastAsia="Arial" w:cs="Arial"/>
              </w:rPr>
              <w:t xml:space="preserve"> de </w:t>
            </w:r>
            <w:r w:rsidRPr="3EE5BBD8" w:rsidR="005A41E1">
              <w:rPr>
                <w:rFonts w:ascii="Arial" w:hAnsi="Arial" w:eastAsia="Arial" w:cs="Arial"/>
              </w:rPr>
              <w:t>Usuarios atendidos</w:t>
            </w:r>
            <w:r w:rsidRPr="3EE5BBD8" w:rsidR="1E6DFA66">
              <w:rPr>
                <w:rFonts w:ascii="Arial" w:hAnsi="Arial" w:eastAsia="Arial" w:cs="Arial"/>
              </w:rPr>
              <w:t>/</w:t>
            </w:r>
            <w:r w:rsidRPr="3EE5BBD8" w:rsidR="005A41E1">
              <w:rPr>
                <w:rFonts w:ascii="Arial" w:hAnsi="Arial" w:eastAsia="Arial" w:cs="Arial"/>
              </w:rPr>
              <w:t xml:space="preserve"> sobre</w:t>
            </w:r>
            <w:r w:rsidRPr="3EE5BBD8" w:rsidR="10E4A541">
              <w:rPr>
                <w:rFonts w:ascii="Arial" w:hAnsi="Arial" w:eastAsia="Arial" w:cs="Arial"/>
              </w:rPr>
              <w:t xml:space="preserve"> </w:t>
            </w:r>
            <w:r w:rsidRPr="3EE5BBD8" w:rsidR="65947B0A">
              <w:rPr>
                <w:rFonts w:ascii="Arial" w:hAnsi="Arial" w:eastAsia="Arial" w:cs="Arial"/>
              </w:rPr>
              <w:t>número</w:t>
            </w:r>
            <w:r w:rsidRPr="3EE5BBD8" w:rsidR="005A41E1">
              <w:rPr>
                <w:rFonts w:ascii="Arial" w:hAnsi="Arial" w:eastAsia="Arial" w:cs="Arial"/>
              </w:rPr>
              <w:t xml:space="preserve"> usuarios </w:t>
            </w:r>
            <w:r w:rsidRPr="3EE5BBD8" w:rsidR="25E6CB15">
              <w:rPr>
                <w:rFonts w:ascii="Arial" w:hAnsi="Arial" w:eastAsia="Arial" w:cs="Arial"/>
              </w:rPr>
              <w:t>satisfechos.</w:t>
            </w:r>
          </w:p>
        </w:tc>
      </w:tr>
    </w:tbl>
    <w:p w:rsidR="00DC6AE1" w:rsidRDefault="00DC6AE1" w14:paraId="0000001E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0"/>
        <w:tblW w:w="8828" w:type="dxa"/>
        <w:tblLayout w:type="fixed"/>
        <w:tblLook w:val="0400" w:firstRow="0" w:lastRow="0" w:firstColumn="0" w:lastColumn="0" w:noHBand="0" w:noVBand="1"/>
      </w:tblPr>
      <w:tblGrid>
        <w:gridCol w:w="1907"/>
        <w:gridCol w:w="1746"/>
        <w:gridCol w:w="368"/>
        <w:gridCol w:w="1570"/>
        <w:gridCol w:w="1714"/>
        <w:gridCol w:w="1523"/>
      </w:tblGrid>
      <w:tr w:rsidR="00DC6AE1" w:rsidTr="43521C29" w14:paraId="12226433" w14:textId="77777777"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1F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¿Qué necesito?</w:t>
            </w:r>
          </w:p>
        </w:tc>
        <w:tc>
          <w:tcPr>
            <w:tcW w:w="1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20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¿Quién lo entrega?</w:t>
            </w: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21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22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Actividades</w:t>
            </w:r>
          </w:p>
        </w:tc>
        <w:tc>
          <w:tcPr>
            <w:tcW w:w="1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23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¿Qué se obtiene?</w:t>
            </w:r>
          </w:p>
        </w:tc>
        <w:tc>
          <w:tcPr>
            <w:tcW w:w="15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24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¿Quién se beneficia?</w:t>
            </w:r>
          </w:p>
        </w:tc>
      </w:tr>
      <w:tr w:rsidR="00DC6AE1" w:rsidTr="43521C29" w14:paraId="22C19527" w14:textId="77777777">
        <w:tc>
          <w:tcPr>
            <w:tcW w:w="190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25" w14:textId="77777777">
            <w:pPr>
              <w:pStyle w:val="Normal0"/>
              <w:numPr>
                <w:ilvl w:val="0"/>
                <w:numId w:val="7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Políticas de la institución</w:t>
            </w:r>
          </w:p>
          <w:p w:rsidR="00DC6AE1" w:rsidRDefault="005A41E1" w14:paraId="00000026" w14:textId="77777777">
            <w:pPr>
              <w:pStyle w:val="Normal0"/>
              <w:numPr>
                <w:ilvl w:val="0"/>
                <w:numId w:val="7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PEI, Manual de convivencia</w:t>
            </w:r>
          </w:p>
          <w:p w:rsidR="00DC6AE1" w:rsidRDefault="005A41E1" w14:paraId="00000027" w14:textId="77777777">
            <w:pPr>
              <w:pStyle w:val="Normal0"/>
              <w:numPr>
                <w:ilvl w:val="0"/>
                <w:numId w:val="7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Listado de estudiantes</w:t>
            </w:r>
          </w:p>
          <w:p w:rsidR="00DC6AE1" w:rsidRDefault="005A41E1" w14:paraId="00000028" w14:textId="77777777">
            <w:pPr>
              <w:pStyle w:val="Normal0"/>
              <w:numPr>
                <w:ilvl w:val="0"/>
                <w:numId w:val="7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Proyectos, Cronograma anual, Necesidades de apoyo complementario a la prestación del servicio académico</w:t>
            </w:r>
          </w:p>
          <w:p w:rsidR="00DC6AE1" w:rsidRDefault="005A41E1" w14:paraId="00000029" w14:textId="77777777">
            <w:pPr>
              <w:pStyle w:val="Normal0"/>
              <w:numPr>
                <w:ilvl w:val="0"/>
                <w:numId w:val="7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Necesidades de bienestar personal</w:t>
            </w:r>
          </w:p>
          <w:p w:rsidR="00DC6AE1" w:rsidRDefault="005A41E1" w14:paraId="0000002A" w14:textId="77777777">
            <w:pPr>
              <w:pStyle w:val="Normal0"/>
              <w:numPr>
                <w:ilvl w:val="0"/>
                <w:numId w:val="8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Donaciones (material promocional)</w:t>
            </w:r>
          </w:p>
        </w:tc>
        <w:tc>
          <w:tcPr>
            <w:tcW w:w="174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2B" w14:textId="77777777">
            <w:pPr>
              <w:pStyle w:val="Normal0"/>
              <w:numPr>
                <w:ilvl w:val="0"/>
                <w:numId w:val="9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Direcc</w:t>
            </w:r>
            <w:r>
              <w:rPr>
                <w:rFonts w:ascii="Arial" w:hAnsi="Arial" w:eastAsia="Arial" w:cs="Arial"/>
              </w:rPr>
              <w:t>ionamiento Institucional</w:t>
            </w:r>
          </w:p>
          <w:p w:rsidR="00DC6AE1" w:rsidRDefault="005A41E1" w14:paraId="0000002C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</w:p>
          <w:p w:rsidR="00DC6AE1" w:rsidRDefault="005A41E1" w14:paraId="0000002D" w14:textId="77777777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 Gestión Pedagógica</w:t>
            </w:r>
          </w:p>
          <w:p w:rsidR="00DC6AE1" w:rsidRDefault="005A41E1" w14:paraId="0000002E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</w:p>
          <w:p w:rsidR="00DC6AE1" w:rsidRDefault="005A41E1" w14:paraId="0000002F" w14:textId="77777777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 Gestión Administrativa</w:t>
            </w:r>
          </w:p>
          <w:p w:rsidR="00DC6AE1" w:rsidRDefault="005A41E1" w14:paraId="00000030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</w:p>
          <w:p w:rsidR="00DC6AE1" w:rsidRDefault="005A41E1" w14:paraId="00000031" w14:textId="77777777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Entidades oficiales y privadas</w:t>
            </w:r>
          </w:p>
          <w:p w:rsidR="00DC6AE1" w:rsidRDefault="005A41E1" w14:paraId="00000032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</w:p>
          <w:p w:rsidR="00DC6AE1" w:rsidRDefault="005A41E1" w14:paraId="00000033" w14:textId="77777777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Todos los procesos al generar necesidades</w:t>
            </w: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34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35" w14:textId="77777777">
            <w:pPr>
              <w:pStyle w:val="Normal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48"/>
                <w:szCs w:val="48"/>
              </w:rPr>
            </w:pPr>
            <w:r>
              <w:rPr>
                <w:rFonts w:ascii="Arial" w:hAnsi="Arial" w:eastAsia="Arial" w:cs="Arial"/>
                <w:color w:val="000000"/>
              </w:rPr>
              <w:t>Planificar Servicios y recursos</w:t>
            </w:r>
          </w:p>
        </w:tc>
        <w:tc>
          <w:tcPr>
            <w:tcW w:w="171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36" w14:textId="77777777">
            <w:pPr>
              <w:pStyle w:val="Normal0"/>
              <w:numPr>
                <w:ilvl w:val="0"/>
                <w:numId w:val="5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Cumplimiento de la política institucional</w:t>
            </w:r>
          </w:p>
          <w:p w:rsidR="00DC6AE1" w:rsidRDefault="005A41E1" w14:paraId="00000037" w14:textId="77777777">
            <w:pPr>
              <w:pStyle w:val="Normal0"/>
              <w:numPr>
                <w:ilvl w:val="0"/>
                <w:numId w:val="5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Actividades Coordinadas y alineadas con los demás procesos</w:t>
            </w:r>
          </w:p>
          <w:p w:rsidR="00DC6AE1" w:rsidRDefault="005A41E1" w14:paraId="00000038" w14:textId="77777777">
            <w:pPr>
              <w:pStyle w:val="Normal0"/>
              <w:numPr>
                <w:ilvl w:val="0"/>
                <w:numId w:val="5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Actividades preventivas Prestación del servicio de acuerdo a las necesidades y sus registros</w:t>
            </w:r>
          </w:p>
          <w:p w:rsidR="00DC6AE1" w:rsidRDefault="005A41E1" w14:paraId="00000039" w14:textId="77777777">
            <w:pPr>
              <w:pStyle w:val="Normal0"/>
              <w:numPr>
                <w:ilvl w:val="0"/>
                <w:numId w:val="5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Participación, ayudas, e integración con la comunidad educativ</w:t>
            </w:r>
            <w:r>
              <w:rPr>
                <w:rFonts w:ascii="Arial" w:hAnsi="Arial" w:eastAsia="Arial" w:cs="Arial"/>
                <w:color w:val="000000"/>
              </w:rPr>
              <w:t>a</w:t>
            </w:r>
          </w:p>
          <w:p w:rsidR="00DC6AE1" w:rsidRDefault="005A41E1" w14:paraId="0000003A" w14:textId="77777777">
            <w:pPr>
              <w:pStyle w:val="Normal0"/>
              <w:numPr>
                <w:ilvl w:val="0"/>
                <w:numId w:val="5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Donaciones</w:t>
            </w:r>
          </w:p>
          <w:p w:rsidR="00DC6AE1" w:rsidRDefault="005A41E1" w14:paraId="0000003B" w14:textId="77777777">
            <w:pPr>
              <w:pStyle w:val="Normal0"/>
              <w:numPr>
                <w:ilvl w:val="0"/>
                <w:numId w:val="5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Acciones de mejora</w:t>
            </w:r>
          </w:p>
        </w:tc>
        <w:tc>
          <w:tcPr>
            <w:tcW w:w="152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3C" w14:textId="77777777">
            <w:pPr>
              <w:pStyle w:val="Normal0"/>
              <w:numPr>
                <w:ilvl w:val="0"/>
                <w:numId w:val="6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Dir</w:t>
            </w:r>
            <w:r>
              <w:rPr>
                <w:rFonts w:ascii="Arial" w:hAnsi="Arial" w:eastAsia="Arial" w:cs="Arial"/>
              </w:rPr>
              <w:t>eccionamiento Institucional</w:t>
            </w:r>
          </w:p>
          <w:p w:rsidR="00DC6AE1" w:rsidRDefault="005A41E1" w14:paraId="0000003D" w14:textId="77777777">
            <w:pPr>
              <w:pStyle w:val="Normal0"/>
              <w:numPr>
                <w:ilvl w:val="0"/>
                <w:numId w:val="6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Procesos del S.G.C</w:t>
            </w:r>
          </w:p>
          <w:p w:rsidR="00DC6AE1" w:rsidRDefault="005A41E1" w14:paraId="0000003E" w14:textId="77777777">
            <w:pPr>
              <w:pStyle w:val="Normal0"/>
              <w:numPr>
                <w:ilvl w:val="0"/>
                <w:numId w:val="6"/>
              </w:numPr>
              <w:spacing w:after="0" w:line="240" w:lineRule="auto"/>
              <w:ind w:left="360" w:right="-136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Comunidad Educativa.</w:t>
            </w:r>
          </w:p>
        </w:tc>
      </w:tr>
      <w:tr w:rsidR="00DC6AE1" w:rsidTr="43521C29" w14:paraId="32EFDB11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3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4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41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42" w14:textId="77777777">
            <w:pPr>
              <w:pStyle w:val="Normal0"/>
              <w:spacing w:line="240" w:lineRule="auto"/>
              <w:ind w:right="-13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Planificar </w:t>
            </w:r>
            <w:r>
              <w:rPr>
                <w:rFonts w:ascii="Arial" w:hAnsi="Arial" w:eastAsia="Arial" w:cs="Arial"/>
              </w:rPr>
              <w:t>actividades</w:t>
            </w:r>
            <w:r>
              <w:rPr>
                <w:rFonts w:ascii="Arial" w:hAnsi="Arial" w:eastAsia="Arial" w:cs="Arial"/>
                <w:color w:val="000000"/>
              </w:rPr>
              <w:t xml:space="preserve"> y proyectos.</w:t>
            </w: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4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4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1003977A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4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4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47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H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48" w14:textId="77777777">
            <w:pPr>
              <w:pStyle w:val="Normal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Ejecutar actividades planeadas</w:t>
            </w: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4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4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47A37D0F" w14:textId="77777777">
        <w:trPr>
          <w:trHeight w:val="665"/>
        </w:trPr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4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4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4D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H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4E" w14:textId="77777777">
            <w:pPr>
              <w:pStyle w:val="Normal0"/>
              <w:spacing w:after="0" w:line="240" w:lineRule="auto"/>
              <w:ind w:left="2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Socializar actividades y proyectos</w:t>
            </w:r>
          </w:p>
          <w:p w:rsidR="00DC6AE1" w:rsidRDefault="00DC6AE1" w14:paraId="0000004F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6247F7F9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54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H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P="43521C29" w:rsidRDefault="005A41E1" w14:paraId="00000055" w14:textId="21A60AAD">
            <w:pPr>
              <w:pStyle w:val="Normal0"/>
              <w:spacing w:after="0" w:line="240" w:lineRule="auto"/>
              <w:ind w:left="0"/>
              <w:jc w:val="both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672A6659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A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B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0A37501D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5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0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1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3D2AB6DC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66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H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67" w14:textId="77777777">
            <w:pPr>
              <w:pStyle w:val="Normal0"/>
              <w:spacing w:after="0" w:line="240" w:lineRule="auto"/>
              <w:ind w:left="2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Hacer seguimiento al cumplimiento de las actividades programadas</w:t>
            </w: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3696C343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6C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V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D" w14:textId="77777777">
            <w:pPr>
              <w:pStyle w:val="Normal0"/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6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0C53CB5B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72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V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73" w14:textId="0E14AA49">
            <w:pPr>
              <w:pStyle w:val="Normal0"/>
              <w:spacing w:after="0" w:line="240" w:lineRule="auto"/>
              <w:ind w:left="2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521C29" w:rsidR="43521C29">
              <w:rPr>
                <w:rFonts w:ascii="Arial" w:hAnsi="Arial" w:eastAsia="Arial" w:cs="Arial"/>
                <w:color w:val="000000" w:themeColor="text1" w:themeTint="FF" w:themeShade="FF"/>
              </w:rPr>
              <w:t>Reportar indicadores y analisis de los mismos</w:t>
            </w:r>
          </w:p>
          <w:p w:rsidR="00DC6AE1" w:rsidRDefault="00DC6AE1" w14:paraId="00000074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6D9CACE2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79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V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7A" w14:textId="4D3CE428">
            <w:pPr>
              <w:pStyle w:val="Normal0"/>
              <w:spacing w:after="0" w:line="240" w:lineRule="auto"/>
              <w:ind w:left="2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521C29" w:rsidR="43521C29">
              <w:rPr>
                <w:rFonts w:ascii="Arial" w:hAnsi="Arial" w:eastAsia="Arial" w:cs="Arial"/>
                <w:color w:val="000000" w:themeColor="text1" w:themeTint="FF" w:themeShade="FF"/>
              </w:rPr>
              <w:t xml:space="preserve">Hacer </w:t>
            </w:r>
            <w:r w:rsidRPr="43521C29" w:rsidR="43521C29">
              <w:rPr>
                <w:rFonts w:ascii="Arial" w:hAnsi="Arial" w:eastAsia="Arial" w:cs="Arial"/>
              </w:rPr>
              <w:t>seguimiento</w:t>
            </w:r>
            <w:r w:rsidRPr="43521C29" w:rsidR="43521C29">
              <w:rPr>
                <w:rFonts w:ascii="Arial" w:hAnsi="Arial" w:eastAsia="Arial" w:cs="Arial"/>
                <w:color w:val="000000" w:themeColor="text1" w:themeTint="FF" w:themeShade="FF"/>
              </w:rPr>
              <w:t xml:space="preserve"> a las actividades de servicio a la comunidad</w:t>
            </w:r>
          </w:p>
          <w:p w:rsidR="00DC6AE1" w:rsidRDefault="00DC6AE1" w14:paraId="0000007B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6AE1" w:rsidTr="43521C29" w14:paraId="03FA21E7" w14:textId="77777777">
        <w:tc>
          <w:tcPr>
            <w:tcW w:w="1907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7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80" w14:textId="77777777">
            <w:pPr>
              <w:pStyle w:val="Normal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A</w:t>
            </w:r>
          </w:p>
        </w:tc>
        <w:tc>
          <w:tcPr>
            <w:tcW w:w="1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5A41E1" w14:paraId="00000081" w14:textId="77777777">
            <w:pPr>
              <w:pStyle w:val="Normal0"/>
              <w:spacing w:after="0" w:line="240" w:lineRule="auto"/>
              <w:ind w:left="2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Hacer seguimiento a las acciones.</w:t>
            </w:r>
          </w:p>
          <w:p w:rsidR="00DC6AE1" w:rsidRDefault="00DC6AE1" w14:paraId="00000082" w14:textId="77777777">
            <w:pPr>
              <w:pStyle w:val="Normal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8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AE1" w:rsidRDefault="00DC6AE1" w14:paraId="0000008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DC6AE1" w:rsidRDefault="00DC6AE1" w14:paraId="00000085" w14:textId="77777777">
      <w:pPr>
        <w:pStyle w:val="Normal0"/>
      </w:pPr>
      <w:bookmarkStart w:name="_heading=h.gjdgxs" w:colFirst="0" w:colLast="0" w:id="0"/>
      <w:bookmarkEnd w:id="0"/>
    </w:p>
    <w:sectPr w:rsidR="00DC6AE1"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1C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0FAC85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1710723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 w15:restartNumberingAfterBreak="0">
    <w:nsid w:val="19A0E45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 w15:restartNumberingAfterBreak="0">
    <w:nsid w:val="1C6A73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 w15:restartNumberingAfterBreak="0">
    <w:nsid w:val="315E0D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 w15:restartNumberingAfterBreak="0">
    <w:nsid w:val="435FEAF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 w15:restartNumberingAfterBreak="0">
    <w:nsid w:val="4E55146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8" w15:restartNumberingAfterBreak="0">
    <w:nsid w:val="65DB65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 w16cid:durableId="2119830084">
    <w:abstractNumId w:val="4"/>
  </w:num>
  <w:num w:numId="2" w16cid:durableId="1242718745">
    <w:abstractNumId w:val="0"/>
  </w:num>
  <w:num w:numId="3" w16cid:durableId="1668558165">
    <w:abstractNumId w:val="7"/>
  </w:num>
  <w:num w:numId="4" w16cid:durableId="1483350283">
    <w:abstractNumId w:val="3"/>
  </w:num>
  <w:num w:numId="5" w16cid:durableId="755444839">
    <w:abstractNumId w:val="2"/>
  </w:num>
  <w:num w:numId="6" w16cid:durableId="2125802734">
    <w:abstractNumId w:val="5"/>
  </w:num>
  <w:num w:numId="7" w16cid:durableId="346562626">
    <w:abstractNumId w:val="6"/>
  </w:num>
  <w:num w:numId="8" w16cid:durableId="1746494760">
    <w:abstractNumId w:val="1"/>
  </w:num>
  <w:num w:numId="9" w16cid:durableId="1038286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CD027"/>
    <w:rsid w:val="00887EC8"/>
    <w:rsid w:val="00DC6AE1"/>
    <w:rsid w:val="10E4A541"/>
    <w:rsid w:val="1C2DE602"/>
    <w:rsid w:val="1DFBA470"/>
    <w:rsid w:val="1E6DFA66"/>
    <w:rsid w:val="25E6CB15"/>
    <w:rsid w:val="29E8F57C"/>
    <w:rsid w:val="3EE5BBD8"/>
    <w:rsid w:val="43521C29"/>
    <w:rsid w:val="487375C1"/>
    <w:rsid w:val="55D21682"/>
    <w:rsid w:val="65947B0A"/>
    <w:rsid w:val="7BACD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EBF38"/>
  <w15:docId w15:val="{813D319B-67D5-47A8-9499-0E083157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C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link w:val="Ttulo1Car"/>
    <w:uiPriority w:val="9"/>
    <w:qFormat/>
    <w:rsid w:val="00F47D7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s-CO"/>
    </w:rPr>
  </w:style>
  <w:style w:type="paragraph" w:styleId="heading20" w:customStyle="1">
    <w:name w:val="heading 20"/>
    <w:basedOn w:val="Normal0"/>
    <w:link w:val="Ttulo2Car"/>
    <w:uiPriority w:val="9"/>
    <w:qFormat/>
    <w:rsid w:val="00F47D7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CO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1Car" w:customStyle="1">
    <w:name w:val="Título 1 Car"/>
    <w:basedOn w:val="Fuentedeprrafopredeter"/>
    <w:link w:val="heading10"/>
    <w:uiPriority w:val="9"/>
    <w:rsid w:val="00F47D7C"/>
    <w:rPr>
      <w:rFonts w:ascii="Times New Roman" w:hAnsi="Times New Roman" w:eastAsia="Times New Roman" w:cs="Times New Roman"/>
      <w:b/>
      <w:bCs/>
      <w:kern w:val="36"/>
      <w:sz w:val="48"/>
      <w:szCs w:val="48"/>
      <w:lang w:eastAsia="es-CO"/>
    </w:rPr>
  </w:style>
  <w:style w:type="character" w:styleId="Ttulo2Car" w:customStyle="1">
    <w:name w:val="Título 2 Car"/>
    <w:basedOn w:val="Fuentedeprrafopredeter"/>
    <w:link w:val="heading20"/>
    <w:uiPriority w:val="9"/>
    <w:rsid w:val="00F47D7C"/>
    <w:rPr>
      <w:rFonts w:ascii="Times New Roman" w:hAnsi="Times New Roman" w:eastAsia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0"/>
    <w:uiPriority w:val="99"/>
    <w:semiHidden/>
    <w:unhideWhenUsed/>
    <w:rsid w:val="00F47D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Bphv/omlN6aBnHNQitlBx92A1g==">AMUW2mVNpC/+ThoyHp4BM6EPFkq4BG8lIrKFPZ2r/ifpgKx8J0aEUzcaxsX5hxk/92ZdDAjcS8HPf+BBRarDyJNJg1+O0eWFCukcLXIJt4QFVZ+AUVo48h30fAdXvluxg1lywxFUKeni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 de Windows</dc:creator>
  <lastModifiedBy>IE Juan Nepomuceno Cadavid</lastModifiedBy>
  <revision>2</revision>
  <dcterms:created xsi:type="dcterms:W3CDTF">2023-08-03T18:48:00.0000000Z</dcterms:created>
  <dcterms:modified xsi:type="dcterms:W3CDTF">2023-08-04T19:04:17.7124480Z</dcterms:modified>
</coreProperties>
</file>