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29D" w:rsidRDefault="00EC629D" w:rsidP="00EC629D">
      <w:pPr>
        <w:rPr>
          <w:sz w:val="20"/>
          <w:szCs w:val="20"/>
        </w:rPr>
      </w:pPr>
      <w:r>
        <w:rPr>
          <w:sz w:val="20"/>
          <w:szCs w:val="20"/>
        </w:rPr>
        <w:t>INGLÉS</w:t>
      </w:r>
    </w:p>
    <w:p w:rsidR="00EC629D" w:rsidRDefault="00EC629D" w:rsidP="00EC629D">
      <w:pPr>
        <w:rPr>
          <w:sz w:val="20"/>
          <w:szCs w:val="20"/>
        </w:rPr>
      </w:pPr>
      <w:r>
        <w:rPr>
          <w:sz w:val="20"/>
          <w:szCs w:val="20"/>
        </w:rPr>
        <w:t>CUARTO PERIODO</w:t>
      </w:r>
    </w:p>
    <w:p w:rsidR="00EC629D" w:rsidRDefault="00EC629D" w:rsidP="00EC629D">
      <w:pPr>
        <w:shd w:val="clear" w:color="auto" w:fill="FFFFFF"/>
        <w:spacing w:after="240" w:line="360" w:lineRule="auto"/>
        <w:textAlignment w:val="baseline"/>
        <w:rPr>
          <w:rFonts w:ascii="Arial" w:hAnsi="Arial" w:cs="Arial"/>
          <w:sz w:val="16"/>
          <w:szCs w:val="16"/>
          <w:lang w:eastAsia="es-CO"/>
        </w:rPr>
      </w:pPr>
      <w:r>
        <w:rPr>
          <w:sz w:val="20"/>
          <w:szCs w:val="20"/>
        </w:rPr>
        <w:t>JUSTIFICACION</w:t>
      </w:r>
      <w:r>
        <w:t xml:space="preserve">: </w:t>
      </w:r>
      <w:r>
        <w:rPr>
          <w:rFonts w:ascii="Arial" w:hAnsi="Arial" w:cs="Arial"/>
          <w:sz w:val="16"/>
          <w:szCs w:val="16"/>
        </w:rPr>
        <w:t>El uso del inglés como lenguaje global, parte más de la necesidad “</w:t>
      </w:r>
      <w:r>
        <w:rPr>
          <w:rFonts w:ascii="Arial" w:hAnsi="Arial" w:cs="Arial"/>
          <w:bCs/>
          <w:sz w:val="16"/>
          <w:szCs w:val="16"/>
          <w:lang w:eastAsia="es-CO"/>
        </w:rPr>
        <w:t>En el pasado, para difundir la religión y posibilitar el debate intelectual. Con las tecnologías de hoy en día, se trata de comunicarse con los demás en cualquier lugar del mundo en cuestión de segundos”</w:t>
      </w:r>
      <w:r>
        <w:rPr>
          <w:rFonts w:ascii="Arial" w:hAnsi="Arial" w:cs="Arial"/>
          <w:noProof/>
          <w:sz w:val="16"/>
          <w:szCs w:val="16"/>
          <w:lang w:eastAsia="es-CO"/>
        </w:rPr>
        <w:t>(Rosen, 2010)</w:t>
      </w:r>
      <w:r>
        <w:rPr>
          <w:rFonts w:ascii="Arial" w:hAnsi="Arial" w:cs="Arial"/>
          <w:bCs/>
          <w:sz w:val="16"/>
          <w:szCs w:val="16"/>
          <w:lang w:eastAsia="es-CO"/>
        </w:rPr>
        <w:t>.</w:t>
      </w:r>
    </w:p>
    <w:p w:rsidR="00EC629D" w:rsidRDefault="00EC629D" w:rsidP="00EC629D">
      <w:pPr>
        <w:shd w:val="clear" w:color="auto" w:fill="FFFFFF"/>
        <w:spacing w:after="240" w:line="360" w:lineRule="auto"/>
        <w:textAlignment w:val="baseline"/>
        <w:rPr>
          <w:rFonts w:ascii="Arial" w:hAnsi="Arial" w:cs="Arial"/>
          <w:sz w:val="16"/>
          <w:szCs w:val="16"/>
          <w:lang w:eastAsia="es-CO"/>
        </w:rPr>
      </w:pPr>
      <w:r>
        <w:rPr>
          <w:rFonts w:ascii="Arial" w:hAnsi="Arial" w:cs="Arial"/>
          <w:sz w:val="16"/>
          <w:szCs w:val="16"/>
          <w:lang w:eastAsia="es-CO"/>
        </w:rPr>
        <w:t>Antes de la globalización o la inclusión de políticas lingüísticas, el inglés ya estaba en todos los rincones del planeta, gracias conquistas del imperio británico, el inglés fue llevado por todo el mundo por marineros, soldados, peregrinos, comerciantes y misioneros del Imperio británico, llegando a Norteamérica y posteriormente a Suramérica.</w:t>
      </w:r>
    </w:p>
    <w:p w:rsidR="00EC629D" w:rsidRDefault="00EC629D" w:rsidP="00EC629D">
      <w:pPr>
        <w:shd w:val="clear" w:color="auto" w:fill="FFFFFF"/>
        <w:spacing w:after="240" w:line="360" w:lineRule="auto"/>
        <w:textAlignment w:val="baseline"/>
        <w:rPr>
          <w:rFonts w:ascii="Arial" w:hAnsi="Arial" w:cs="Arial"/>
          <w:sz w:val="16"/>
          <w:szCs w:val="16"/>
          <w:lang w:eastAsia="es-CO"/>
        </w:rPr>
      </w:pPr>
      <w:r>
        <w:rPr>
          <w:rFonts w:ascii="Arial" w:hAnsi="Arial" w:cs="Arial"/>
          <w:sz w:val="16"/>
          <w:szCs w:val="16"/>
          <w:lang w:eastAsia="es-CO"/>
        </w:rPr>
        <w:t>En la actualidad, el inglés es la lengua de los negocios, de la información científica, de la revolución tecnológica y del internet, así que la mayoría de las cosas que necesitan saberse, están escritas en inglés. Por esto, Colombia no puede quedarse atrás, y para seguir en la vanguardia, debe presentar políticas que guíen el proceso al que ahora se está enfrentando.</w:t>
      </w:r>
    </w:p>
    <w:p w:rsidR="00EC629D" w:rsidRDefault="00EC629D" w:rsidP="00EC629D">
      <w:pPr>
        <w:shd w:val="clear" w:color="auto" w:fill="FFFFFF"/>
        <w:spacing w:after="240" w:line="360" w:lineRule="auto"/>
        <w:textAlignment w:val="baseline"/>
        <w:rPr>
          <w:rFonts w:ascii="Arial" w:hAnsi="Arial" w:cs="Arial"/>
          <w:sz w:val="16"/>
          <w:szCs w:val="16"/>
          <w:lang w:eastAsia="es-CO"/>
        </w:rPr>
      </w:pPr>
      <w:r>
        <w:rPr>
          <w:rFonts w:ascii="Arial" w:hAnsi="Arial" w:cs="Arial"/>
          <w:sz w:val="16"/>
          <w:szCs w:val="16"/>
          <w:lang w:eastAsia="es-CO"/>
        </w:rPr>
        <w:t>Una de las estrategias del Ministerio de Educación, es el Programa Nacional de Bilingüismo, en el marco de la pertinencia educativa y la competitividad, para la formación de ciudadanos más capaces de interactuar en la sociedad a nivel global.</w:t>
      </w:r>
    </w:p>
    <w:p w:rsidR="00EC629D" w:rsidRDefault="00EC629D" w:rsidP="00EC629D">
      <w:pPr>
        <w:shd w:val="clear" w:color="auto" w:fill="FFFFFF"/>
        <w:spacing w:after="240" w:line="360" w:lineRule="auto"/>
        <w:textAlignment w:val="baseline"/>
        <w:rPr>
          <w:rFonts w:ascii="Arial" w:hAnsi="Arial" w:cs="Arial"/>
          <w:sz w:val="16"/>
          <w:szCs w:val="16"/>
          <w:lang w:eastAsia="es-CO"/>
        </w:rPr>
      </w:pPr>
      <w:r>
        <w:rPr>
          <w:rFonts w:ascii="Arial" w:hAnsi="Arial" w:cs="Arial"/>
          <w:sz w:val="16"/>
          <w:szCs w:val="16"/>
          <w:lang w:eastAsia="es-CO"/>
        </w:rPr>
        <w:t>El proyecto se ha definido teniendo en cuenta los ejes del ciclo de calidad: estándares, evaluación y mejoramiento. “En el eje de estándares, se formularon los "Estándares de competencia en lengua extrajera: inglés". En evaluación, los estándares sirven como referente para alinear el componente de inglés de la Prueba de Estado así como el de los exámenes SABER PRO. En lo relacionado con planes de mejoramiento, el Programa se concentra en la formación de formadores de docentes de inglés, en la formación de educadores del área en servicio del sector oficial y en el uso intensivo de medios que sirvan al propósito del proyecto”</w:t>
      </w:r>
      <w:r>
        <w:rPr>
          <w:rFonts w:ascii="Arial" w:hAnsi="Arial" w:cs="Arial"/>
          <w:noProof/>
          <w:sz w:val="16"/>
          <w:szCs w:val="16"/>
          <w:lang w:eastAsia="es-CO"/>
        </w:rPr>
        <w:t>(Colombia Aprende, 2015)</w:t>
      </w:r>
      <w:r>
        <w:rPr>
          <w:rFonts w:ascii="Arial" w:hAnsi="Arial" w:cs="Arial"/>
          <w:sz w:val="16"/>
          <w:szCs w:val="16"/>
          <w:lang w:eastAsia="es-CO"/>
        </w:rPr>
        <w:t>.</w:t>
      </w:r>
    </w:p>
    <w:p w:rsidR="00EC629D" w:rsidRDefault="00EC629D" w:rsidP="00EC629D">
      <w:pPr>
        <w:shd w:val="clear" w:color="auto" w:fill="FFFFFF"/>
        <w:spacing w:after="240" w:line="360" w:lineRule="auto"/>
        <w:textAlignment w:val="baseline"/>
        <w:rPr>
          <w:rFonts w:ascii="Arial" w:hAnsi="Arial" w:cs="Arial"/>
          <w:sz w:val="16"/>
          <w:szCs w:val="16"/>
          <w:lang w:eastAsia="es-CO"/>
        </w:rPr>
      </w:pPr>
      <w:r>
        <w:rPr>
          <w:rFonts w:ascii="Arial" w:hAnsi="Arial" w:cs="Arial"/>
          <w:sz w:val="16"/>
          <w:szCs w:val="16"/>
          <w:lang w:eastAsia="es-CO"/>
        </w:rPr>
        <w:t>Respecto al departamento de Antioquia,</w:t>
      </w:r>
      <w:r>
        <w:rPr>
          <w:rFonts w:ascii="Arial" w:hAnsi="Arial" w:cs="Arial"/>
          <w:bCs/>
          <w:sz w:val="16"/>
          <w:szCs w:val="16"/>
          <w:lang w:eastAsia="es-CO"/>
        </w:rPr>
        <w:t>La Universidad Nacional de Colombia, en asociación con la Gobernación de este departamento, para buscar“mejorar el conocimiento del inglés entre los profesores del Departamento, y con ello darle vuelta a los antecedentes negativos de 2005 cuando el 79,1 por ciento de los profesores que presentó la prueba Marco Común Europeo de Referencia, MCE, se clasificaron entre los niveles más bajos”</w:t>
      </w:r>
      <w:r>
        <w:rPr>
          <w:rFonts w:ascii="Arial" w:hAnsi="Arial" w:cs="Arial"/>
          <w:noProof/>
          <w:sz w:val="16"/>
          <w:szCs w:val="16"/>
          <w:lang w:eastAsia="es-CO"/>
        </w:rPr>
        <w:t>(Villa, 2015)</w:t>
      </w:r>
      <w:r>
        <w:rPr>
          <w:rFonts w:ascii="Arial" w:hAnsi="Arial" w:cs="Arial"/>
          <w:bCs/>
          <w:sz w:val="16"/>
          <w:szCs w:val="16"/>
          <w:lang w:eastAsia="es-CO"/>
        </w:rPr>
        <w:t>.</w:t>
      </w:r>
      <w:r>
        <w:rPr>
          <w:rFonts w:ascii="Arial" w:hAnsi="Arial" w:cs="Arial"/>
          <w:sz w:val="16"/>
          <w:szCs w:val="16"/>
          <w:lang w:eastAsia="es-CO"/>
        </w:rPr>
        <w:t xml:space="preserve"> La Secretaría de Educación para la Cultura y su  Programa Departamental de Bilingüismo en convenio con el Centro de Idiomas de la Facultad de Ciencias Humanas y Económicas de la UN en Medellín, compartieron nuevas ideas, talleres y propuestas tecnológicas con docentes de las nueve subregiones de Antioquia. “El propósito fue replicar por medio de los docentes capacitados y líderes en sus zonas, nuevas estrategias para formar en la segunda lengua”</w:t>
      </w:r>
      <w:r>
        <w:rPr>
          <w:rFonts w:ascii="Arial" w:hAnsi="Arial" w:cs="Arial"/>
          <w:noProof/>
          <w:sz w:val="16"/>
          <w:szCs w:val="16"/>
          <w:lang w:eastAsia="es-CO"/>
        </w:rPr>
        <w:t>(Villa, 2015)</w:t>
      </w:r>
      <w:r>
        <w:rPr>
          <w:rFonts w:ascii="Arial" w:hAnsi="Arial" w:cs="Arial"/>
          <w:sz w:val="16"/>
          <w:szCs w:val="16"/>
          <w:lang w:eastAsia="es-CO"/>
        </w:rPr>
        <w:t>.</w:t>
      </w:r>
    </w:p>
    <w:p w:rsidR="00EC629D" w:rsidRDefault="00EC629D" w:rsidP="00EC629D">
      <w:pPr>
        <w:shd w:val="clear" w:color="auto" w:fill="FFFFFF"/>
        <w:spacing w:after="240" w:line="360" w:lineRule="auto"/>
        <w:textAlignment w:val="baseline"/>
        <w:rPr>
          <w:rFonts w:ascii="Arial" w:hAnsi="Arial" w:cs="Arial"/>
          <w:sz w:val="16"/>
          <w:szCs w:val="16"/>
          <w:lang w:eastAsia="es-CO"/>
        </w:rPr>
      </w:pPr>
      <w:r>
        <w:rPr>
          <w:rFonts w:ascii="Arial" w:hAnsi="Arial" w:cs="Arial"/>
          <w:sz w:val="16"/>
          <w:szCs w:val="16"/>
          <w:lang w:eastAsia="es-CO"/>
        </w:rPr>
        <w:t>Para el contexto de santa teresita se espera que las egresadas, al ingresar a la educación superior y posteriormente al campo laboral, cuenten con un nivel de suficiencia en el manejo del inglés, tal que las lleve a ser competitivas para desenvolverse en un contexto social del mundo moderno.</w:t>
      </w:r>
    </w:p>
    <w:p w:rsidR="00EC629D" w:rsidRPr="00134F55" w:rsidRDefault="00EC629D" w:rsidP="00EC629D">
      <w:pPr>
        <w:rPr>
          <w:rFonts w:ascii="Arial" w:hAnsi="Arial" w:cs="Arial"/>
          <w:sz w:val="16"/>
          <w:szCs w:val="16"/>
          <w:lang w:eastAsia="es-CO"/>
        </w:rPr>
      </w:pPr>
      <w:r w:rsidRPr="000F71A9">
        <w:rPr>
          <w:sz w:val="20"/>
          <w:szCs w:val="20"/>
          <w:lang w:val="en-US"/>
        </w:rPr>
        <w:t>NUCLEO TEMATICO</w:t>
      </w:r>
      <w:r w:rsidRPr="000F71A9">
        <w:rPr>
          <w:lang w:val="en-US"/>
        </w:rPr>
        <w:t xml:space="preserve">: </w:t>
      </w:r>
      <w:r w:rsidRPr="00EC629D">
        <w:rPr>
          <w:rFonts w:ascii="Arial" w:hAnsi="Arial" w:cs="Arial"/>
          <w:sz w:val="16"/>
          <w:szCs w:val="16"/>
          <w:lang w:val="en-US" w:eastAsia="es-CO"/>
        </w:rPr>
        <w:t xml:space="preserve">Weather and seasons,Daily activities and habits,Winter and summer camps, Unusual jobs and occupations,Travels, The New 7 Wonders of the World, Frequency adverbs. </w:t>
      </w:r>
      <w:r w:rsidRPr="00134F55">
        <w:rPr>
          <w:rFonts w:ascii="Arial" w:hAnsi="Arial" w:cs="Arial"/>
          <w:sz w:val="16"/>
          <w:szCs w:val="16"/>
          <w:lang w:eastAsia="es-CO"/>
        </w:rPr>
        <w:t>Places of the city.</w:t>
      </w:r>
    </w:p>
    <w:p w:rsidR="00EC629D" w:rsidRDefault="00EC629D" w:rsidP="00EC629D">
      <w:pPr>
        <w:rPr>
          <w:rFonts w:ascii="Arial" w:hAnsi="Arial" w:cs="Arial"/>
          <w:sz w:val="16"/>
          <w:szCs w:val="16"/>
          <w:lang w:eastAsia="es-CO"/>
        </w:rPr>
      </w:pPr>
      <w:r w:rsidRPr="00EC629D">
        <w:rPr>
          <w:sz w:val="20"/>
          <w:szCs w:val="20"/>
        </w:rPr>
        <w:t xml:space="preserve"> </w:t>
      </w:r>
      <w:r w:rsidRPr="000F71A9">
        <w:rPr>
          <w:sz w:val="20"/>
          <w:szCs w:val="20"/>
        </w:rPr>
        <w:t>CRITERIOS BASICOS DE DESEMPEÑO</w:t>
      </w:r>
      <w:r w:rsidRPr="000F71A9">
        <w:t xml:space="preserve">: </w:t>
      </w:r>
      <w:r w:rsidRPr="000F71A9">
        <w:rPr>
          <w:rFonts w:ascii="Arial" w:hAnsi="Arial" w:cs="Arial"/>
          <w:sz w:val="16"/>
          <w:szCs w:val="16"/>
          <w:lang w:eastAsia="es-CO"/>
        </w:rPr>
        <w:t>Comprendo instrucciones escritas para llevar a cabo actividades coti</w:t>
      </w:r>
      <w:r>
        <w:rPr>
          <w:rFonts w:ascii="Arial" w:hAnsi="Arial" w:cs="Arial"/>
          <w:sz w:val="16"/>
          <w:szCs w:val="16"/>
          <w:lang w:eastAsia="es-CO"/>
        </w:rPr>
        <w:t xml:space="preserve">dianas, personales y académicas, </w:t>
      </w:r>
      <w:r w:rsidRPr="000F71A9">
        <w:rPr>
          <w:rFonts w:ascii="Arial" w:hAnsi="Arial" w:cs="Arial"/>
          <w:sz w:val="16"/>
          <w:szCs w:val="16"/>
          <w:lang w:eastAsia="es-CO"/>
        </w:rPr>
        <w:t>Identifico la acción, los personajes y el entorno en textos narrativos</w:t>
      </w:r>
      <w:r>
        <w:rPr>
          <w:rFonts w:ascii="Arial" w:hAnsi="Arial" w:cs="Arial"/>
          <w:sz w:val="20"/>
          <w:szCs w:val="20"/>
        </w:rPr>
        <w:t xml:space="preserve">, </w:t>
      </w:r>
      <w:r w:rsidRPr="000F71A9">
        <w:rPr>
          <w:rFonts w:ascii="Arial" w:hAnsi="Arial" w:cs="Arial"/>
          <w:sz w:val="16"/>
          <w:szCs w:val="16"/>
          <w:lang w:eastAsia="es-CO"/>
        </w:rPr>
        <w:t xml:space="preserve">Utilizo vocabulario adecuado para </w:t>
      </w:r>
      <w:r>
        <w:rPr>
          <w:rFonts w:ascii="Arial" w:hAnsi="Arial" w:cs="Arial"/>
          <w:sz w:val="16"/>
          <w:szCs w:val="16"/>
          <w:lang w:eastAsia="es-CO"/>
        </w:rPr>
        <w:t xml:space="preserve">darle coherencia a mis escritos, </w:t>
      </w:r>
      <w:r w:rsidRPr="000F71A9">
        <w:rPr>
          <w:rFonts w:ascii="Arial" w:hAnsi="Arial" w:cs="Arial"/>
          <w:sz w:val="16"/>
          <w:szCs w:val="16"/>
          <w:lang w:eastAsia="es-CO"/>
        </w:rPr>
        <w:t>Hago exposiciones muy breves, de contenido predecible y aprendido.</w:t>
      </w:r>
    </w:p>
    <w:p w:rsidR="00EC629D" w:rsidRPr="00043A44" w:rsidRDefault="00EC629D" w:rsidP="00EC629D">
      <w:pPr>
        <w:rPr>
          <w:rFonts w:ascii="Arial" w:hAnsi="Arial" w:cs="Arial"/>
          <w:sz w:val="20"/>
          <w:szCs w:val="20"/>
        </w:rPr>
      </w:pPr>
    </w:p>
    <w:p w:rsidR="00EC629D" w:rsidRPr="00043A44" w:rsidRDefault="00EC629D" w:rsidP="00EC629D">
      <w:pPr>
        <w:rPr>
          <w:rFonts w:ascii="Arial" w:hAnsi="Arial" w:cs="Arial"/>
          <w:sz w:val="20"/>
          <w:szCs w:val="20"/>
        </w:rPr>
      </w:pPr>
    </w:p>
    <w:p w:rsidR="00EC629D" w:rsidRPr="000F71A9" w:rsidRDefault="00EC629D" w:rsidP="00EC629D">
      <w:pPr>
        <w:rPr>
          <w:rFonts w:ascii="Arial" w:hAnsi="Arial" w:cs="Arial"/>
          <w:sz w:val="16"/>
          <w:szCs w:val="16"/>
          <w:lang w:eastAsia="es-CO"/>
        </w:rPr>
      </w:pPr>
    </w:p>
    <w:p w:rsidR="00EC629D" w:rsidRPr="000F71A9" w:rsidRDefault="00EC629D" w:rsidP="00EC629D">
      <w:pPr>
        <w:rPr>
          <w:rFonts w:ascii="Arial" w:eastAsia="Calibri" w:hAnsi="Arial" w:cs="Arial"/>
          <w:sz w:val="20"/>
          <w:szCs w:val="20"/>
        </w:rPr>
      </w:pPr>
    </w:p>
    <w:p w:rsidR="00EC629D" w:rsidRPr="00EC629D" w:rsidRDefault="00EC629D" w:rsidP="00EC629D">
      <w:pPr>
        <w:autoSpaceDE w:val="0"/>
        <w:autoSpaceDN w:val="0"/>
        <w:adjustRightInd w:val="0"/>
        <w:rPr>
          <w:rFonts w:ascii="Arial" w:hAnsi="Arial" w:cs="Arial"/>
          <w:sz w:val="16"/>
          <w:szCs w:val="16"/>
          <w:lang w:val="en-US" w:eastAsia="es-CO"/>
        </w:rPr>
      </w:pPr>
      <w:r w:rsidRPr="00D64367">
        <w:rPr>
          <w:sz w:val="20"/>
          <w:szCs w:val="20"/>
          <w:lang w:val="en-US"/>
        </w:rPr>
        <w:t>TEMAS:</w:t>
      </w:r>
      <w:r w:rsidRPr="00D64367">
        <w:rPr>
          <w:rFonts w:ascii="MyriadPro-LightSemiCn" w:eastAsia="MyriadPro-LightSemiCn" w:cs="MyriadPro-LightSemiCn" w:hint="eastAsia"/>
          <w:sz w:val="18"/>
          <w:szCs w:val="18"/>
          <w:lang w:val="en-US"/>
        </w:rPr>
        <w:t xml:space="preserve"> </w:t>
      </w:r>
      <w:r w:rsidRPr="00EC629D">
        <w:rPr>
          <w:rFonts w:ascii="Arial" w:hAnsi="Arial" w:cs="Arial"/>
          <w:sz w:val="16"/>
          <w:szCs w:val="16"/>
          <w:lang w:val="en-US" w:eastAsia="es-CO"/>
        </w:rPr>
        <w:t>Free time activities, expressing, like</w:t>
      </w:r>
      <w:r>
        <w:rPr>
          <w:rFonts w:ascii="Arial" w:hAnsi="Arial" w:cs="Arial"/>
          <w:sz w:val="16"/>
          <w:szCs w:val="16"/>
          <w:lang w:val="en-US" w:eastAsia="es-CO"/>
        </w:rPr>
        <w:t xml:space="preserve">s and dislikes (love/ like/hate </w:t>
      </w:r>
      <w:r w:rsidRPr="00EC629D">
        <w:rPr>
          <w:rFonts w:ascii="Arial" w:hAnsi="Arial" w:cs="Arial"/>
          <w:sz w:val="16"/>
          <w:szCs w:val="16"/>
          <w:lang w:val="en-US" w:eastAsia="es-CO"/>
        </w:rPr>
        <w:t>+verb + -ing )</w:t>
      </w:r>
      <w:r>
        <w:rPr>
          <w:rFonts w:ascii="Arial" w:hAnsi="Arial" w:cs="Arial"/>
          <w:sz w:val="16"/>
          <w:szCs w:val="16"/>
          <w:lang w:val="en-US" w:eastAsia="es-CO"/>
        </w:rPr>
        <w:t>, t</w:t>
      </w:r>
      <w:r w:rsidRPr="00EC629D">
        <w:rPr>
          <w:rFonts w:ascii="Arial" w:hAnsi="Arial" w:cs="Arial"/>
          <w:sz w:val="16"/>
          <w:szCs w:val="16"/>
          <w:lang w:val="en-US" w:eastAsia="es-CO"/>
        </w:rPr>
        <w:t>he Present Progressive tense</w:t>
      </w:r>
    </w:p>
    <w:p w:rsidR="00EC629D" w:rsidRDefault="00EC629D" w:rsidP="00EC629D">
      <w:pPr>
        <w:autoSpaceDE w:val="0"/>
        <w:autoSpaceDN w:val="0"/>
        <w:adjustRightInd w:val="0"/>
        <w:rPr>
          <w:rFonts w:ascii="Arial" w:hAnsi="Arial" w:cs="Arial"/>
          <w:sz w:val="16"/>
          <w:szCs w:val="16"/>
          <w:lang w:eastAsia="es-CO"/>
        </w:rPr>
      </w:pPr>
      <w:r>
        <w:rPr>
          <w:sz w:val="20"/>
          <w:szCs w:val="20"/>
        </w:rPr>
        <w:t xml:space="preserve">ACTIVIDAD DE INICIO: </w:t>
      </w:r>
      <w:r>
        <w:rPr>
          <w:rFonts w:ascii="Arial" w:hAnsi="Arial" w:cs="Arial"/>
          <w:sz w:val="16"/>
          <w:szCs w:val="16"/>
          <w:lang w:eastAsia="es-CO"/>
        </w:rPr>
        <w:t xml:space="preserve">Se programará video clase el </w:t>
      </w:r>
      <w:r w:rsidR="003327C2">
        <w:rPr>
          <w:rFonts w:ascii="Arial" w:hAnsi="Arial" w:cs="Arial"/>
          <w:sz w:val="16"/>
          <w:szCs w:val="16"/>
          <w:lang w:eastAsia="es-CO"/>
        </w:rPr>
        <w:t>23 Y 24</w:t>
      </w:r>
      <w:r>
        <w:rPr>
          <w:rFonts w:ascii="Arial" w:hAnsi="Arial" w:cs="Arial"/>
          <w:sz w:val="16"/>
          <w:szCs w:val="16"/>
          <w:lang w:eastAsia="es-CO"/>
        </w:rPr>
        <w:t xml:space="preserve">  de septiembre</w:t>
      </w:r>
    </w:p>
    <w:p w:rsidR="00EC629D" w:rsidRDefault="00EC629D" w:rsidP="00EC629D">
      <w:pPr>
        <w:rPr>
          <w:rFonts w:ascii="Arial" w:hAnsi="Arial" w:cs="Arial"/>
          <w:sz w:val="16"/>
          <w:szCs w:val="16"/>
          <w:lang w:val="en-US" w:eastAsia="es-CO"/>
        </w:rPr>
      </w:pPr>
      <w:r>
        <w:rPr>
          <w:rFonts w:ascii="Arial" w:hAnsi="Arial" w:cs="Arial"/>
          <w:sz w:val="16"/>
          <w:szCs w:val="16"/>
          <w:lang w:val="en-US" w:eastAsia="es-CO"/>
        </w:rPr>
        <w:t>-Se  trabajará  libro  student book  Hit  the road 1</w:t>
      </w:r>
    </w:p>
    <w:p w:rsidR="00EC629D" w:rsidRDefault="00EC629D" w:rsidP="00EC629D">
      <w:pPr>
        <w:rPr>
          <w:rFonts w:ascii="Arial" w:hAnsi="Arial" w:cs="Arial"/>
          <w:sz w:val="16"/>
          <w:szCs w:val="16"/>
          <w:lang w:eastAsia="es-CO"/>
        </w:rPr>
      </w:pPr>
      <w:r>
        <w:rPr>
          <w:rFonts w:ascii="Arial" w:hAnsi="Arial" w:cs="Arial"/>
          <w:sz w:val="16"/>
          <w:szCs w:val="16"/>
          <w:lang w:eastAsia="es-CO"/>
        </w:rPr>
        <w:t xml:space="preserve">-Remitirse  a  la  página  </w:t>
      </w:r>
      <w:r w:rsidR="003327C2">
        <w:rPr>
          <w:rFonts w:ascii="Arial" w:hAnsi="Arial" w:cs="Arial"/>
          <w:sz w:val="16"/>
          <w:szCs w:val="16"/>
          <w:lang w:eastAsia="es-CO"/>
        </w:rPr>
        <w:t>82, 83 y 84</w:t>
      </w:r>
      <w:r>
        <w:rPr>
          <w:color w:val="000000"/>
        </w:rPr>
        <w:t xml:space="preserve"> </w:t>
      </w:r>
      <w:r>
        <w:rPr>
          <w:rFonts w:ascii="Arial" w:hAnsi="Arial" w:cs="Arial"/>
          <w:sz w:val="16"/>
          <w:szCs w:val="16"/>
          <w:lang w:eastAsia="es-CO"/>
        </w:rPr>
        <w:t>del  studentbook</w:t>
      </w:r>
    </w:p>
    <w:p w:rsidR="00EC629D" w:rsidRDefault="00EC629D" w:rsidP="00EC629D">
      <w:pPr>
        <w:rPr>
          <w:sz w:val="20"/>
          <w:szCs w:val="20"/>
        </w:rPr>
      </w:pPr>
      <w:r>
        <w:rPr>
          <w:b/>
          <w:sz w:val="20"/>
          <w:szCs w:val="20"/>
        </w:rPr>
        <w:t xml:space="preserve"> </w:t>
      </w:r>
      <w:r>
        <w:rPr>
          <w:b/>
          <w:color w:val="000000"/>
          <w:sz w:val="20"/>
          <w:szCs w:val="20"/>
        </w:rPr>
        <w:t xml:space="preserve">ASPECTOS A TENER EN CUENTA: </w:t>
      </w:r>
      <w:r>
        <w:rPr>
          <w:rFonts w:ascii="Arial" w:hAnsi="Arial" w:cs="Arial"/>
          <w:sz w:val="16"/>
          <w:szCs w:val="16"/>
          <w:lang w:eastAsia="es-CO"/>
        </w:rPr>
        <w:t>Tener listo libro de inglés ya sea físico o digital,</w:t>
      </w:r>
      <w:r>
        <w:rPr>
          <w:b/>
          <w:color w:val="000000"/>
          <w:sz w:val="20"/>
          <w:szCs w:val="20"/>
        </w:rPr>
        <w:t xml:space="preserve"> </w:t>
      </w:r>
      <w:r>
        <w:rPr>
          <w:rFonts w:ascii="Arial" w:hAnsi="Arial" w:cs="Arial"/>
          <w:sz w:val="16"/>
          <w:szCs w:val="16"/>
          <w:lang w:eastAsia="es-CO"/>
        </w:rPr>
        <w:t>tener listo lápiz y borrador</w:t>
      </w:r>
      <w:r>
        <w:rPr>
          <w:b/>
          <w:color w:val="000000"/>
          <w:sz w:val="20"/>
          <w:szCs w:val="20"/>
        </w:rPr>
        <w:t xml:space="preserve">, </w:t>
      </w:r>
      <w:r>
        <w:rPr>
          <w:rFonts w:ascii="Arial" w:hAnsi="Arial" w:cs="Arial"/>
          <w:sz w:val="16"/>
          <w:szCs w:val="16"/>
          <w:lang w:eastAsia="es-CO"/>
        </w:rPr>
        <w:t>multimedia habilitada (parlantes)</w:t>
      </w:r>
      <w:r>
        <w:rPr>
          <w:b/>
          <w:color w:val="000000"/>
          <w:sz w:val="20"/>
          <w:szCs w:val="20"/>
        </w:rPr>
        <w:t xml:space="preserve">, </w:t>
      </w:r>
      <w:r>
        <w:rPr>
          <w:rFonts w:ascii="Arial" w:hAnsi="Arial" w:cs="Arial"/>
          <w:sz w:val="16"/>
          <w:szCs w:val="16"/>
          <w:lang w:eastAsia="es-CO"/>
        </w:rPr>
        <w:t>mucha disposición hacia la clase y participación.</w:t>
      </w:r>
    </w:p>
    <w:p w:rsidR="00EC629D" w:rsidRDefault="00EC629D" w:rsidP="00EC629D">
      <w:pPr>
        <w:jc w:val="center"/>
        <w:rPr>
          <w:b/>
          <w:i/>
          <w:color w:val="833C0B" w:themeColor="accent2" w:themeShade="80"/>
        </w:rPr>
      </w:pPr>
      <w:r>
        <w:rPr>
          <w:b/>
          <w:i/>
          <w:color w:val="833C0B" w:themeColor="accent2" w:themeShade="80"/>
        </w:rPr>
        <w:t>COLEGIO SANTA TERESITA</w:t>
      </w:r>
    </w:p>
    <w:p w:rsidR="00EC629D" w:rsidRDefault="00EC629D" w:rsidP="00EC629D">
      <w:pPr>
        <w:jc w:val="center"/>
        <w:rPr>
          <w:b/>
          <w:i/>
          <w:color w:val="833C0B" w:themeColor="accent2" w:themeShade="80"/>
        </w:rPr>
      </w:pPr>
      <w:r>
        <w:rPr>
          <w:b/>
          <w:i/>
          <w:color w:val="833C0B" w:themeColor="accent2" w:themeShade="80"/>
        </w:rPr>
        <w:t>LA AMÉRICA – MEDELLÍN</w:t>
      </w:r>
    </w:p>
    <w:p w:rsidR="00EC629D" w:rsidRDefault="00EC629D" w:rsidP="00EC629D">
      <w:pPr>
        <w:jc w:val="center"/>
        <w:rPr>
          <w:b/>
          <w:color w:val="833C0B" w:themeColor="accent2" w:themeShade="80"/>
        </w:rPr>
      </w:pPr>
      <w:r>
        <w:rPr>
          <w:b/>
          <w:i/>
          <w:color w:val="833C0B" w:themeColor="accent2" w:themeShade="80"/>
        </w:rPr>
        <w:t>“A la Verdad por la Virtud y la Ciencia”</w:t>
      </w:r>
    </w:p>
    <w:tbl>
      <w:tblPr>
        <w:tblStyle w:val="Tablaconcuadrcula"/>
        <w:tblW w:w="11205" w:type="dxa"/>
        <w:tblInd w:w="-856" w:type="dxa"/>
        <w:tblLayout w:type="fixed"/>
        <w:tblLook w:val="04A0"/>
      </w:tblPr>
      <w:tblGrid>
        <w:gridCol w:w="1415"/>
        <w:gridCol w:w="1416"/>
        <w:gridCol w:w="570"/>
        <w:gridCol w:w="1417"/>
        <w:gridCol w:w="714"/>
        <w:gridCol w:w="2265"/>
        <w:gridCol w:w="1135"/>
        <w:gridCol w:w="1419"/>
        <w:gridCol w:w="854"/>
      </w:tblGrid>
      <w:tr w:rsidR="00EC629D" w:rsidTr="00790ABE">
        <w:tc>
          <w:tcPr>
            <w:tcW w:w="2829" w:type="dxa"/>
            <w:gridSpan w:val="2"/>
            <w:tcBorders>
              <w:top w:val="single" w:sz="4" w:space="0" w:color="auto"/>
              <w:left w:val="single" w:sz="4" w:space="0" w:color="auto"/>
              <w:bottom w:val="single" w:sz="4" w:space="0" w:color="auto"/>
              <w:right w:val="single" w:sz="4" w:space="0" w:color="auto"/>
            </w:tcBorders>
            <w:shd w:val="clear" w:color="auto" w:fill="CEBDB6"/>
            <w:hideMark/>
          </w:tcPr>
          <w:p w:rsidR="00EC629D" w:rsidRDefault="00EC629D" w:rsidP="00790ABE">
            <w:pPr>
              <w:jc w:val="center"/>
              <w:rPr>
                <w:b/>
              </w:rPr>
            </w:pPr>
            <w:r>
              <w:rPr>
                <w:b/>
              </w:rPr>
              <w:t>Guía de aprendizaje #</w:t>
            </w:r>
          </w:p>
        </w:tc>
        <w:tc>
          <w:tcPr>
            <w:tcW w:w="570" w:type="dxa"/>
            <w:tcBorders>
              <w:top w:val="single" w:sz="4" w:space="0" w:color="auto"/>
              <w:left w:val="single" w:sz="4" w:space="0" w:color="auto"/>
              <w:bottom w:val="single" w:sz="4" w:space="0" w:color="auto"/>
              <w:right w:val="single" w:sz="4" w:space="0" w:color="auto"/>
            </w:tcBorders>
            <w:hideMark/>
          </w:tcPr>
          <w:p w:rsidR="00EC629D" w:rsidRDefault="003327C2" w:rsidP="00790ABE">
            <w:pPr>
              <w:jc w:val="center"/>
              <w:rPr>
                <w:b/>
              </w:rPr>
            </w:pPr>
            <w:r>
              <w:rPr>
                <w:b/>
              </w:rPr>
              <w:t>2</w:t>
            </w:r>
          </w:p>
        </w:tc>
        <w:tc>
          <w:tcPr>
            <w:tcW w:w="1416" w:type="dxa"/>
            <w:tcBorders>
              <w:top w:val="single" w:sz="4" w:space="0" w:color="auto"/>
              <w:left w:val="single" w:sz="4" w:space="0" w:color="auto"/>
              <w:bottom w:val="single" w:sz="4" w:space="0" w:color="auto"/>
              <w:right w:val="single" w:sz="4" w:space="0" w:color="auto"/>
            </w:tcBorders>
            <w:shd w:val="clear" w:color="auto" w:fill="CEBDB6"/>
            <w:hideMark/>
          </w:tcPr>
          <w:p w:rsidR="00EC629D" w:rsidRDefault="00EC629D" w:rsidP="00790ABE">
            <w:pPr>
              <w:jc w:val="center"/>
              <w:rPr>
                <w:b/>
              </w:rPr>
            </w:pPr>
            <w:r>
              <w:rPr>
                <w:b/>
              </w:rPr>
              <w:t>Periodo</w:t>
            </w:r>
          </w:p>
        </w:tc>
        <w:tc>
          <w:tcPr>
            <w:tcW w:w="714" w:type="dxa"/>
            <w:tcBorders>
              <w:top w:val="single" w:sz="4" w:space="0" w:color="auto"/>
              <w:left w:val="single" w:sz="4" w:space="0" w:color="auto"/>
              <w:bottom w:val="single" w:sz="4" w:space="0" w:color="auto"/>
              <w:right w:val="single" w:sz="4" w:space="0" w:color="auto"/>
            </w:tcBorders>
            <w:hideMark/>
          </w:tcPr>
          <w:p w:rsidR="00EC629D" w:rsidRDefault="00EC629D" w:rsidP="00790ABE">
            <w:pPr>
              <w:jc w:val="center"/>
              <w:rPr>
                <w:b/>
              </w:rPr>
            </w:pPr>
            <w:r>
              <w:rPr>
                <w:b/>
              </w:rPr>
              <w:t>4</w:t>
            </w:r>
          </w:p>
        </w:tc>
        <w:tc>
          <w:tcPr>
            <w:tcW w:w="2264" w:type="dxa"/>
            <w:tcBorders>
              <w:top w:val="single" w:sz="4" w:space="0" w:color="auto"/>
              <w:left w:val="single" w:sz="4" w:space="0" w:color="auto"/>
              <w:bottom w:val="single" w:sz="4" w:space="0" w:color="auto"/>
              <w:right w:val="single" w:sz="4" w:space="0" w:color="auto"/>
            </w:tcBorders>
            <w:shd w:val="clear" w:color="auto" w:fill="CEBDB6"/>
            <w:hideMark/>
          </w:tcPr>
          <w:p w:rsidR="00EC629D" w:rsidRDefault="00EC629D" w:rsidP="00790ABE">
            <w:pPr>
              <w:jc w:val="center"/>
              <w:rPr>
                <w:b/>
              </w:rPr>
            </w:pPr>
            <w:r>
              <w:rPr>
                <w:b/>
                <w:shd w:val="clear" w:color="auto" w:fill="CEBDB6"/>
              </w:rPr>
              <w:t>Área-Asignatura</w:t>
            </w:r>
          </w:p>
        </w:tc>
        <w:tc>
          <w:tcPr>
            <w:tcW w:w="1134" w:type="dxa"/>
            <w:tcBorders>
              <w:top w:val="single" w:sz="4" w:space="0" w:color="auto"/>
              <w:left w:val="single" w:sz="4" w:space="0" w:color="auto"/>
              <w:bottom w:val="single" w:sz="4" w:space="0" w:color="auto"/>
              <w:right w:val="single" w:sz="4" w:space="0" w:color="auto"/>
            </w:tcBorders>
            <w:hideMark/>
          </w:tcPr>
          <w:p w:rsidR="00EC629D" w:rsidRDefault="00EC629D" w:rsidP="00790ABE">
            <w:pPr>
              <w:rPr>
                <w:b/>
              </w:rPr>
            </w:pPr>
            <w:r>
              <w:rPr>
                <w:b/>
              </w:rPr>
              <w:t>Inglés</w:t>
            </w:r>
          </w:p>
        </w:tc>
        <w:tc>
          <w:tcPr>
            <w:tcW w:w="1418" w:type="dxa"/>
            <w:tcBorders>
              <w:top w:val="single" w:sz="4" w:space="0" w:color="auto"/>
              <w:left w:val="single" w:sz="4" w:space="0" w:color="auto"/>
              <w:bottom w:val="single" w:sz="4" w:space="0" w:color="auto"/>
              <w:right w:val="single" w:sz="4" w:space="0" w:color="auto"/>
            </w:tcBorders>
            <w:shd w:val="clear" w:color="auto" w:fill="CEBDB6"/>
            <w:hideMark/>
          </w:tcPr>
          <w:p w:rsidR="00EC629D" w:rsidRDefault="00EC629D" w:rsidP="00790ABE">
            <w:pPr>
              <w:jc w:val="center"/>
              <w:rPr>
                <w:b/>
              </w:rPr>
            </w:pPr>
            <w:r>
              <w:rPr>
                <w:b/>
              </w:rPr>
              <w:t>Grado</w:t>
            </w:r>
          </w:p>
        </w:tc>
        <w:tc>
          <w:tcPr>
            <w:tcW w:w="854" w:type="dxa"/>
            <w:tcBorders>
              <w:top w:val="single" w:sz="4" w:space="0" w:color="auto"/>
              <w:left w:val="single" w:sz="4" w:space="0" w:color="auto"/>
              <w:bottom w:val="single" w:sz="4" w:space="0" w:color="auto"/>
              <w:right w:val="single" w:sz="4" w:space="0" w:color="auto"/>
            </w:tcBorders>
            <w:hideMark/>
          </w:tcPr>
          <w:p w:rsidR="00EC629D" w:rsidRDefault="00EC629D" w:rsidP="00790ABE">
            <w:pPr>
              <w:jc w:val="center"/>
              <w:rPr>
                <w:b/>
              </w:rPr>
            </w:pPr>
            <w:r>
              <w:rPr>
                <w:b/>
              </w:rPr>
              <w:t>6</w:t>
            </w:r>
          </w:p>
        </w:tc>
      </w:tr>
      <w:tr w:rsidR="00EC629D" w:rsidRPr="00EC629D" w:rsidTr="00790ABE">
        <w:tc>
          <w:tcPr>
            <w:tcW w:w="1414" w:type="dxa"/>
            <w:tcBorders>
              <w:top w:val="single" w:sz="4" w:space="0" w:color="auto"/>
              <w:left w:val="single" w:sz="4" w:space="0" w:color="auto"/>
              <w:bottom w:val="single" w:sz="4" w:space="0" w:color="auto"/>
              <w:right w:val="single" w:sz="4" w:space="0" w:color="auto"/>
            </w:tcBorders>
            <w:shd w:val="clear" w:color="auto" w:fill="CEBDB6"/>
            <w:hideMark/>
          </w:tcPr>
          <w:p w:rsidR="00EC629D" w:rsidRDefault="00EC629D" w:rsidP="00790ABE">
            <w:pPr>
              <w:jc w:val="center"/>
              <w:rPr>
                <w:b/>
              </w:rPr>
            </w:pPr>
            <w:r>
              <w:rPr>
                <w:b/>
              </w:rPr>
              <w:t>Docente</w:t>
            </w:r>
          </w:p>
        </w:tc>
        <w:tc>
          <w:tcPr>
            <w:tcW w:w="4115" w:type="dxa"/>
            <w:gridSpan w:val="4"/>
            <w:tcBorders>
              <w:top w:val="single" w:sz="4" w:space="0" w:color="auto"/>
              <w:left w:val="single" w:sz="4" w:space="0" w:color="auto"/>
              <w:bottom w:val="single" w:sz="4" w:space="0" w:color="auto"/>
              <w:right w:val="single" w:sz="4" w:space="0" w:color="auto"/>
            </w:tcBorders>
            <w:hideMark/>
          </w:tcPr>
          <w:p w:rsidR="00EC629D" w:rsidRDefault="00EC629D" w:rsidP="00790ABE">
            <w:pPr>
              <w:jc w:val="center"/>
              <w:rPr>
                <w:b/>
              </w:rPr>
            </w:pPr>
            <w:r>
              <w:rPr>
                <w:b/>
              </w:rPr>
              <w:t>Iván Rodríguez</w:t>
            </w:r>
          </w:p>
        </w:tc>
        <w:tc>
          <w:tcPr>
            <w:tcW w:w="2264" w:type="dxa"/>
            <w:tcBorders>
              <w:top w:val="single" w:sz="4" w:space="0" w:color="auto"/>
              <w:left w:val="single" w:sz="4" w:space="0" w:color="auto"/>
              <w:bottom w:val="single" w:sz="4" w:space="0" w:color="auto"/>
              <w:right w:val="single" w:sz="4" w:space="0" w:color="auto"/>
            </w:tcBorders>
            <w:shd w:val="clear" w:color="auto" w:fill="CEBDB6"/>
            <w:hideMark/>
          </w:tcPr>
          <w:p w:rsidR="00EC629D" w:rsidRDefault="00EC629D" w:rsidP="00790ABE">
            <w:pPr>
              <w:jc w:val="center"/>
              <w:rPr>
                <w:b/>
              </w:rPr>
            </w:pPr>
            <w:r>
              <w:rPr>
                <w:b/>
              </w:rPr>
              <w:t>Eje Temático</w:t>
            </w:r>
          </w:p>
        </w:tc>
        <w:tc>
          <w:tcPr>
            <w:tcW w:w="3406" w:type="dxa"/>
            <w:gridSpan w:val="3"/>
            <w:tcBorders>
              <w:top w:val="single" w:sz="4" w:space="0" w:color="auto"/>
              <w:left w:val="single" w:sz="4" w:space="0" w:color="auto"/>
              <w:bottom w:val="single" w:sz="4" w:space="0" w:color="auto"/>
              <w:right w:val="single" w:sz="4" w:space="0" w:color="auto"/>
            </w:tcBorders>
            <w:hideMark/>
          </w:tcPr>
          <w:p w:rsidR="00EC629D" w:rsidRDefault="003327C2" w:rsidP="00790ABE">
            <w:pPr>
              <w:rPr>
                <w:sz w:val="20"/>
                <w:szCs w:val="20"/>
                <w:lang w:val="en-US"/>
              </w:rPr>
            </w:pPr>
            <w:r>
              <w:rPr>
                <w:rFonts w:ascii="Arial" w:hAnsi="Arial" w:cs="Arial"/>
                <w:sz w:val="16"/>
                <w:szCs w:val="16"/>
                <w:lang w:val="en-US" w:eastAsia="es-CO"/>
              </w:rPr>
              <w:t>t</w:t>
            </w:r>
            <w:r w:rsidRPr="00EC629D">
              <w:rPr>
                <w:rFonts w:ascii="Arial" w:hAnsi="Arial" w:cs="Arial"/>
                <w:sz w:val="16"/>
                <w:szCs w:val="16"/>
                <w:lang w:val="en-US" w:eastAsia="es-CO"/>
              </w:rPr>
              <w:t>he Present Progressive tense</w:t>
            </w:r>
          </w:p>
        </w:tc>
      </w:tr>
      <w:tr w:rsidR="00EC629D" w:rsidTr="00790ABE">
        <w:tc>
          <w:tcPr>
            <w:tcW w:w="3399" w:type="dxa"/>
            <w:gridSpan w:val="3"/>
            <w:tcBorders>
              <w:top w:val="single" w:sz="4" w:space="0" w:color="auto"/>
              <w:left w:val="single" w:sz="4" w:space="0" w:color="auto"/>
              <w:bottom w:val="single" w:sz="4" w:space="0" w:color="auto"/>
              <w:right w:val="single" w:sz="4" w:space="0" w:color="auto"/>
            </w:tcBorders>
            <w:shd w:val="clear" w:color="auto" w:fill="CEBDB6"/>
            <w:hideMark/>
          </w:tcPr>
          <w:p w:rsidR="00EC629D" w:rsidRDefault="00EC629D" w:rsidP="00790ABE">
            <w:pPr>
              <w:jc w:val="center"/>
              <w:rPr>
                <w:b/>
              </w:rPr>
            </w:pPr>
            <w:r>
              <w:rPr>
                <w:b/>
              </w:rPr>
              <w:t>Periodo de desarrollo y de entrega</w:t>
            </w:r>
          </w:p>
        </w:tc>
        <w:tc>
          <w:tcPr>
            <w:tcW w:w="2130" w:type="dxa"/>
            <w:gridSpan w:val="2"/>
            <w:tcBorders>
              <w:top w:val="single" w:sz="4" w:space="0" w:color="auto"/>
              <w:left w:val="single" w:sz="4" w:space="0" w:color="auto"/>
              <w:bottom w:val="single" w:sz="4" w:space="0" w:color="auto"/>
              <w:right w:val="single" w:sz="4" w:space="0" w:color="auto"/>
            </w:tcBorders>
            <w:hideMark/>
          </w:tcPr>
          <w:p w:rsidR="00EC629D" w:rsidRDefault="00EC629D" w:rsidP="00790ABE">
            <w:pPr>
              <w:jc w:val="center"/>
              <w:rPr>
                <w:b/>
              </w:rPr>
            </w:pPr>
            <w:r>
              <w:rPr>
                <w:b/>
              </w:rPr>
              <w:t>2 días</w:t>
            </w:r>
          </w:p>
        </w:tc>
        <w:tc>
          <w:tcPr>
            <w:tcW w:w="3398" w:type="dxa"/>
            <w:gridSpan w:val="2"/>
            <w:tcBorders>
              <w:top w:val="single" w:sz="4" w:space="0" w:color="auto"/>
              <w:left w:val="single" w:sz="4" w:space="0" w:color="auto"/>
              <w:bottom w:val="single" w:sz="4" w:space="0" w:color="auto"/>
              <w:right w:val="single" w:sz="4" w:space="0" w:color="auto"/>
            </w:tcBorders>
            <w:shd w:val="clear" w:color="auto" w:fill="CEBDB6"/>
            <w:hideMark/>
          </w:tcPr>
          <w:p w:rsidR="00EC629D" w:rsidRDefault="00EC629D" w:rsidP="00790ABE">
            <w:pPr>
              <w:jc w:val="center"/>
              <w:rPr>
                <w:b/>
              </w:rPr>
            </w:pPr>
            <w:r>
              <w:rPr>
                <w:b/>
              </w:rPr>
              <w:t>Tiempo de trabajo independiente</w:t>
            </w:r>
          </w:p>
        </w:tc>
        <w:tc>
          <w:tcPr>
            <w:tcW w:w="2272" w:type="dxa"/>
            <w:gridSpan w:val="2"/>
            <w:tcBorders>
              <w:top w:val="single" w:sz="4" w:space="0" w:color="auto"/>
              <w:left w:val="single" w:sz="4" w:space="0" w:color="auto"/>
              <w:bottom w:val="single" w:sz="4" w:space="0" w:color="auto"/>
              <w:right w:val="single" w:sz="4" w:space="0" w:color="auto"/>
            </w:tcBorders>
            <w:hideMark/>
          </w:tcPr>
          <w:p w:rsidR="00EC629D" w:rsidRDefault="00EC629D" w:rsidP="00790ABE">
            <w:pPr>
              <w:jc w:val="center"/>
              <w:rPr>
                <w:b/>
              </w:rPr>
            </w:pPr>
            <w:r>
              <w:rPr>
                <w:b/>
              </w:rPr>
              <w:t>3 horas</w:t>
            </w:r>
          </w:p>
        </w:tc>
      </w:tr>
      <w:tr w:rsidR="00EC629D" w:rsidTr="00790ABE">
        <w:tc>
          <w:tcPr>
            <w:tcW w:w="3399" w:type="dxa"/>
            <w:gridSpan w:val="3"/>
            <w:tcBorders>
              <w:top w:val="single" w:sz="4" w:space="0" w:color="auto"/>
              <w:left w:val="single" w:sz="4" w:space="0" w:color="auto"/>
              <w:bottom w:val="single" w:sz="4" w:space="0" w:color="auto"/>
              <w:right w:val="single" w:sz="4" w:space="0" w:color="auto"/>
            </w:tcBorders>
            <w:shd w:val="clear" w:color="auto" w:fill="CEBDB6"/>
            <w:hideMark/>
          </w:tcPr>
          <w:p w:rsidR="00EC629D" w:rsidRDefault="00EC629D" w:rsidP="00790ABE">
            <w:pPr>
              <w:jc w:val="center"/>
              <w:rPr>
                <w:b/>
              </w:rPr>
            </w:pPr>
            <w:r>
              <w:rPr>
                <w:b/>
              </w:rPr>
              <w:t>Desempeños</w:t>
            </w:r>
          </w:p>
        </w:tc>
        <w:tc>
          <w:tcPr>
            <w:tcW w:w="7800" w:type="dxa"/>
            <w:gridSpan w:val="6"/>
            <w:tcBorders>
              <w:top w:val="single" w:sz="4" w:space="0" w:color="auto"/>
              <w:left w:val="single" w:sz="4" w:space="0" w:color="auto"/>
              <w:bottom w:val="single" w:sz="4" w:space="0" w:color="auto"/>
              <w:right w:val="single" w:sz="4" w:space="0" w:color="auto"/>
            </w:tcBorders>
            <w:hideMark/>
          </w:tcPr>
          <w:p w:rsidR="00EC629D" w:rsidRDefault="00EC629D" w:rsidP="00790ABE">
            <w:pPr>
              <w:rPr>
                <w:rFonts w:ascii="Arial" w:hAnsi="Arial" w:cs="Arial"/>
                <w:sz w:val="20"/>
                <w:szCs w:val="20"/>
              </w:rPr>
            </w:pPr>
            <w:r w:rsidRPr="004D6D75">
              <w:rPr>
                <w:rFonts w:ascii="Arial" w:hAnsi="Arial" w:cs="Arial"/>
                <w:b/>
                <w:sz w:val="20"/>
                <w:szCs w:val="20"/>
              </w:rPr>
              <w:t>SABER CONOCER</w:t>
            </w:r>
            <w:r>
              <w:rPr>
                <w:rFonts w:ascii="Arial" w:hAnsi="Arial" w:cs="Arial"/>
                <w:b/>
                <w:sz w:val="20"/>
                <w:szCs w:val="20"/>
              </w:rPr>
              <w:t>:</w:t>
            </w:r>
            <w:r>
              <w:rPr>
                <w:rFonts w:ascii="Arial" w:hAnsi="Arial" w:cs="Arial"/>
                <w:sz w:val="20"/>
                <w:szCs w:val="20"/>
              </w:rPr>
              <w:t xml:space="preserve"> </w:t>
            </w:r>
            <w:r w:rsidRPr="00045D32">
              <w:rPr>
                <w:rFonts w:ascii="Arial" w:hAnsi="Arial" w:cs="Arial"/>
                <w:sz w:val="20"/>
                <w:szCs w:val="20"/>
              </w:rPr>
              <w:t>Identifica conectores para expresar el tiempo de secuencia.</w:t>
            </w:r>
          </w:p>
        </w:tc>
      </w:tr>
    </w:tbl>
    <w:p w:rsidR="00EC629D" w:rsidRDefault="00EC629D" w:rsidP="00EC629D">
      <w:pPr>
        <w:rPr>
          <w:b/>
        </w:rPr>
      </w:pPr>
    </w:p>
    <w:tbl>
      <w:tblPr>
        <w:tblStyle w:val="Tablaconcuadrcula"/>
        <w:tblW w:w="9493" w:type="dxa"/>
        <w:tblLook w:val="04A0"/>
      </w:tblPr>
      <w:tblGrid>
        <w:gridCol w:w="9493"/>
      </w:tblGrid>
      <w:tr w:rsidR="00EC629D" w:rsidTr="00790ABE">
        <w:tc>
          <w:tcPr>
            <w:tcW w:w="9493" w:type="dxa"/>
            <w:tcBorders>
              <w:top w:val="single" w:sz="4" w:space="0" w:color="auto"/>
              <w:left w:val="single" w:sz="4" w:space="0" w:color="auto"/>
              <w:bottom w:val="single" w:sz="4" w:space="0" w:color="auto"/>
              <w:right w:val="single" w:sz="4" w:space="0" w:color="auto"/>
            </w:tcBorders>
            <w:shd w:val="clear" w:color="auto" w:fill="CEBDB6"/>
            <w:hideMark/>
          </w:tcPr>
          <w:p w:rsidR="00EC629D" w:rsidRDefault="00EC629D" w:rsidP="00790ABE">
            <w:pPr>
              <w:tabs>
                <w:tab w:val="center" w:pos="4638"/>
                <w:tab w:val="left" w:pos="8280"/>
              </w:tabs>
              <w:rPr>
                <w:b/>
                <w:color w:val="000000"/>
                <w:sz w:val="24"/>
                <w:szCs w:val="24"/>
              </w:rPr>
            </w:pPr>
            <w:r>
              <w:rPr>
                <w:b/>
                <w:color w:val="000000"/>
                <w:sz w:val="24"/>
                <w:szCs w:val="24"/>
              </w:rPr>
              <w:tab/>
              <w:t>MOMENTOS DE LA SECUENCIA DE APRENDIZAJE</w:t>
            </w:r>
            <w:r>
              <w:rPr>
                <w:b/>
                <w:color w:val="000000"/>
                <w:sz w:val="24"/>
                <w:szCs w:val="24"/>
              </w:rPr>
              <w:tab/>
            </w:r>
          </w:p>
        </w:tc>
      </w:tr>
    </w:tbl>
    <w:p w:rsidR="00EC629D" w:rsidRDefault="00EC629D" w:rsidP="00EC629D"/>
    <w:tbl>
      <w:tblPr>
        <w:tblStyle w:val="Tablaconcuadrcula"/>
        <w:tblW w:w="11199" w:type="dxa"/>
        <w:tblInd w:w="-856" w:type="dxa"/>
        <w:tblLook w:val="04A0"/>
      </w:tblPr>
      <w:tblGrid>
        <w:gridCol w:w="11199"/>
      </w:tblGrid>
      <w:tr w:rsidR="00EC629D" w:rsidTr="00790ABE">
        <w:tc>
          <w:tcPr>
            <w:tcW w:w="11199" w:type="dxa"/>
            <w:tcBorders>
              <w:top w:val="single" w:sz="4" w:space="0" w:color="auto"/>
              <w:left w:val="single" w:sz="4" w:space="0" w:color="auto"/>
              <w:bottom w:val="single" w:sz="4" w:space="0" w:color="auto"/>
              <w:right w:val="single" w:sz="4" w:space="0" w:color="auto"/>
            </w:tcBorders>
            <w:shd w:val="clear" w:color="auto" w:fill="CEBDB6"/>
            <w:hideMark/>
          </w:tcPr>
          <w:p w:rsidR="00EC629D" w:rsidRDefault="00EC629D" w:rsidP="00790ABE">
            <w:pPr>
              <w:tabs>
                <w:tab w:val="center" w:pos="4349"/>
                <w:tab w:val="left" w:pos="7155"/>
              </w:tabs>
              <w:jc w:val="center"/>
              <w:rPr>
                <w:b/>
              </w:rPr>
            </w:pPr>
            <w:r>
              <w:rPr>
                <w:b/>
              </w:rPr>
              <w:t>ACTIVACIÓN DE SABERES Y CONCEPTOS PREVIOS</w:t>
            </w:r>
          </w:p>
        </w:tc>
      </w:tr>
      <w:tr w:rsidR="00EC629D" w:rsidTr="00790ABE">
        <w:trPr>
          <w:trHeight w:val="1639"/>
        </w:trPr>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rsidR="00EC629D" w:rsidRDefault="00EC629D" w:rsidP="00790ABE">
            <w:pPr>
              <w:rPr>
                <w:rFonts w:ascii="Arial" w:hAnsi="Arial" w:cs="Arial"/>
                <w:sz w:val="20"/>
                <w:szCs w:val="20"/>
              </w:rPr>
            </w:pPr>
          </w:p>
          <w:p w:rsidR="00EC629D" w:rsidRDefault="00EC629D" w:rsidP="00790ABE">
            <w:pPr>
              <w:rPr>
                <w:b/>
                <w:color w:val="000000"/>
                <w:sz w:val="24"/>
                <w:szCs w:val="24"/>
              </w:rPr>
            </w:pPr>
            <w:r>
              <w:rPr>
                <w:color w:val="000000"/>
                <w:sz w:val="24"/>
                <w:szCs w:val="24"/>
              </w:rPr>
              <w:t>Se</w:t>
            </w:r>
            <w:r>
              <w:rPr>
                <w:b/>
                <w:color w:val="000000"/>
                <w:sz w:val="24"/>
                <w:szCs w:val="24"/>
              </w:rPr>
              <w:t xml:space="preserve"> </w:t>
            </w:r>
            <w:r>
              <w:rPr>
                <w:color w:val="000000"/>
                <w:sz w:val="24"/>
                <w:szCs w:val="24"/>
              </w:rPr>
              <w:t xml:space="preserve">desarrollaran  las actividades planteadas en la página 82, 83 y 84 del studentbook. </w:t>
            </w:r>
          </w:p>
          <w:p w:rsidR="00EC629D" w:rsidRDefault="00EC629D" w:rsidP="00790ABE">
            <w:pPr>
              <w:rPr>
                <w:rFonts w:ascii="Arial" w:hAnsi="Arial" w:cs="Arial"/>
                <w:sz w:val="20"/>
                <w:szCs w:val="20"/>
              </w:rPr>
            </w:pPr>
          </w:p>
          <w:p w:rsidR="00EC629D" w:rsidRDefault="00EC629D" w:rsidP="00790ABE">
            <w:pPr>
              <w:tabs>
                <w:tab w:val="center" w:pos="4349"/>
                <w:tab w:val="left" w:pos="7155"/>
              </w:tabs>
              <w:rPr>
                <w:b/>
              </w:rPr>
            </w:pPr>
          </w:p>
        </w:tc>
      </w:tr>
    </w:tbl>
    <w:p w:rsidR="00EC629D" w:rsidRDefault="00EC629D" w:rsidP="00EC629D"/>
    <w:tbl>
      <w:tblPr>
        <w:tblStyle w:val="Tablaconcuadrcula"/>
        <w:tblW w:w="11199" w:type="dxa"/>
        <w:tblInd w:w="-856" w:type="dxa"/>
        <w:tblLook w:val="04A0"/>
      </w:tblPr>
      <w:tblGrid>
        <w:gridCol w:w="11199"/>
      </w:tblGrid>
      <w:tr w:rsidR="00EC629D" w:rsidTr="00790ABE">
        <w:tc>
          <w:tcPr>
            <w:tcW w:w="11199" w:type="dxa"/>
            <w:tcBorders>
              <w:top w:val="single" w:sz="4" w:space="0" w:color="auto"/>
              <w:left w:val="single" w:sz="4" w:space="0" w:color="auto"/>
              <w:bottom w:val="single" w:sz="4" w:space="0" w:color="auto"/>
              <w:right w:val="single" w:sz="4" w:space="0" w:color="auto"/>
            </w:tcBorders>
            <w:shd w:val="clear" w:color="auto" w:fill="CEBDB6"/>
            <w:hideMark/>
          </w:tcPr>
          <w:p w:rsidR="00EC629D" w:rsidRDefault="00EC629D" w:rsidP="00790ABE">
            <w:pPr>
              <w:jc w:val="center"/>
              <w:rPr>
                <w:b/>
              </w:rPr>
            </w:pPr>
            <w:r>
              <w:rPr>
                <w:b/>
              </w:rPr>
              <w:t>PRESENTACIÓN DE CONTENIDOS</w:t>
            </w:r>
          </w:p>
        </w:tc>
      </w:tr>
      <w:tr w:rsidR="00EC629D" w:rsidRPr="000F71A9" w:rsidTr="00790ABE">
        <w:trPr>
          <w:trHeight w:val="1671"/>
        </w:trPr>
        <w:tc>
          <w:tcPr>
            <w:tcW w:w="11199" w:type="dxa"/>
            <w:tcBorders>
              <w:top w:val="single" w:sz="4" w:space="0" w:color="auto"/>
              <w:left w:val="single" w:sz="4" w:space="0" w:color="auto"/>
              <w:bottom w:val="single" w:sz="4" w:space="0" w:color="auto"/>
              <w:right w:val="single" w:sz="4" w:space="0" w:color="auto"/>
            </w:tcBorders>
          </w:tcPr>
          <w:p w:rsidR="00EC629D" w:rsidRDefault="003327C2" w:rsidP="00790ABE">
            <w:pPr>
              <w:rPr>
                <w:lang w:val="en-US"/>
              </w:rPr>
            </w:pPr>
            <w:r>
              <w:rPr>
                <w:lang w:val="en-US"/>
              </w:rPr>
              <w:t>Vocabulary</w:t>
            </w:r>
          </w:p>
          <w:p w:rsidR="003327C2" w:rsidRDefault="003327C2" w:rsidP="00790ABE">
            <w:pPr>
              <w:rPr>
                <w:lang w:val="en-US"/>
              </w:rPr>
            </w:pPr>
            <w:r>
              <w:rPr>
                <w:lang w:val="en-US"/>
              </w:rPr>
              <w:t>Word bank</w:t>
            </w:r>
          </w:p>
          <w:p w:rsidR="003327C2" w:rsidRDefault="003327C2" w:rsidP="00790ABE">
            <w:pPr>
              <w:rPr>
                <w:lang w:val="en-US"/>
              </w:rPr>
            </w:pPr>
            <w:r>
              <w:rPr>
                <w:lang w:val="en-US"/>
              </w:rPr>
              <w:t>Language file</w:t>
            </w:r>
          </w:p>
          <w:p w:rsidR="003327C2" w:rsidRDefault="003327C2" w:rsidP="00790ABE">
            <w:pPr>
              <w:rPr>
                <w:lang w:val="en-US"/>
              </w:rPr>
            </w:pPr>
            <w:r>
              <w:rPr>
                <w:lang w:val="en-US"/>
              </w:rPr>
              <w:t>Speaking strategy</w:t>
            </w:r>
          </w:p>
          <w:p w:rsidR="003327C2" w:rsidRDefault="003327C2" w:rsidP="00790ABE">
            <w:pPr>
              <w:rPr>
                <w:lang w:val="en-US"/>
              </w:rPr>
            </w:pPr>
            <w:r>
              <w:rPr>
                <w:lang w:val="en-US"/>
              </w:rPr>
              <w:t>Language and function</w:t>
            </w:r>
          </w:p>
          <w:p w:rsidR="003327C2" w:rsidRDefault="003327C2" w:rsidP="00790ABE">
            <w:pPr>
              <w:rPr>
                <w:lang w:val="en-US"/>
              </w:rPr>
            </w:pPr>
            <w:r>
              <w:rPr>
                <w:lang w:val="en-US"/>
              </w:rPr>
              <w:t>Listening strategy</w:t>
            </w:r>
          </w:p>
          <w:p w:rsidR="00EC629D" w:rsidRDefault="00EC629D" w:rsidP="00790ABE">
            <w:pPr>
              <w:rPr>
                <w:lang w:val="en-US"/>
              </w:rPr>
            </w:pPr>
          </w:p>
        </w:tc>
      </w:tr>
    </w:tbl>
    <w:p w:rsidR="00EC629D" w:rsidRDefault="00EC629D" w:rsidP="00EC629D">
      <w:pPr>
        <w:rPr>
          <w:lang w:val="en-US"/>
        </w:rPr>
      </w:pPr>
    </w:p>
    <w:tbl>
      <w:tblPr>
        <w:tblStyle w:val="Tablaconcuadrcula"/>
        <w:tblW w:w="11199" w:type="dxa"/>
        <w:tblInd w:w="-856" w:type="dxa"/>
        <w:tblLook w:val="04A0"/>
      </w:tblPr>
      <w:tblGrid>
        <w:gridCol w:w="11199"/>
      </w:tblGrid>
      <w:tr w:rsidR="00EC629D" w:rsidTr="00790ABE">
        <w:tc>
          <w:tcPr>
            <w:tcW w:w="11199" w:type="dxa"/>
            <w:tcBorders>
              <w:top w:val="single" w:sz="4" w:space="0" w:color="auto"/>
              <w:left w:val="single" w:sz="4" w:space="0" w:color="auto"/>
              <w:bottom w:val="single" w:sz="4" w:space="0" w:color="auto"/>
              <w:right w:val="single" w:sz="4" w:space="0" w:color="auto"/>
            </w:tcBorders>
            <w:shd w:val="clear" w:color="auto" w:fill="CEBDB6"/>
            <w:hideMark/>
          </w:tcPr>
          <w:p w:rsidR="00EC629D" w:rsidRDefault="00EC629D" w:rsidP="00790ABE">
            <w:pPr>
              <w:jc w:val="center"/>
              <w:rPr>
                <w:b/>
              </w:rPr>
            </w:pPr>
            <w:r>
              <w:rPr>
                <w:b/>
              </w:rPr>
              <w:t>ACTIVIDADES DE APRENDIZAJE</w:t>
            </w:r>
          </w:p>
        </w:tc>
      </w:tr>
      <w:tr w:rsidR="00EC629D" w:rsidTr="00790ABE">
        <w:trPr>
          <w:trHeight w:val="1405"/>
        </w:trPr>
        <w:tc>
          <w:tcPr>
            <w:tcW w:w="11199" w:type="dxa"/>
            <w:tcBorders>
              <w:top w:val="single" w:sz="4" w:space="0" w:color="auto"/>
              <w:left w:val="single" w:sz="4" w:space="0" w:color="auto"/>
              <w:bottom w:val="single" w:sz="4" w:space="0" w:color="auto"/>
              <w:right w:val="single" w:sz="4" w:space="0" w:color="auto"/>
            </w:tcBorders>
            <w:hideMark/>
          </w:tcPr>
          <w:p w:rsidR="00EC629D" w:rsidRDefault="00EC629D" w:rsidP="00790ABE">
            <w:r>
              <w:t>Se implementará el aprendizaje colaborativo cuya actividad principal será la construcción del conocimiento aportado entre todos (alumnas y docente); con base a las acciones planteadas en el libro de trabajo (studentbook).</w:t>
            </w:r>
          </w:p>
        </w:tc>
      </w:tr>
    </w:tbl>
    <w:p w:rsidR="00EC629D" w:rsidRDefault="00EC629D" w:rsidP="00EC629D"/>
    <w:tbl>
      <w:tblPr>
        <w:tblStyle w:val="Tablaconcuadrcula"/>
        <w:tblW w:w="11199" w:type="dxa"/>
        <w:tblInd w:w="-856" w:type="dxa"/>
        <w:tblLook w:val="04A0"/>
      </w:tblPr>
      <w:tblGrid>
        <w:gridCol w:w="11199"/>
      </w:tblGrid>
      <w:tr w:rsidR="00EC629D" w:rsidTr="00790ABE">
        <w:tc>
          <w:tcPr>
            <w:tcW w:w="11199" w:type="dxa"/>
            <w:tcBorders>
              <w:top w:val="single" w:sz="4" w:space="0" w:color="auto"/>
              <w:left w:val="single" w:sz="4" w:space="0" w:color="auto"/>
              <w:bottom w:val="single" w:sz="4" w:space="0" w:color="auto"/>
              <w:right w:val="single" w:sz="4" w:space="0" w:color="auto"/>
            </w:tcBorders>
            <w:shd w:val="clear" w:color="auto" w:fill="CEBDB6"/>
            <w:hideMark/>
          </w:tcPr>
          <w:p w:rsidR="00EC629D" w:rsidRDefault="00EC629D" w:rsidP="00790ABE">
            <w:pPr>
              <w:jc w:val="center"/>
              <w:rPr>
                <w:b/>
              </w:rPr>
            </w:pPr>
            <w:r>
              <w:rPr>
                <w:b/>
              </w:rPr>
              <w:t>CIERRE Y COMPROMISOS</w:t>
            </w:r>
          </w:p>
        </w:tc>
      </w:tr>
      <w:tr w:rsidR="00EC629D" w:rsidTr="00790ABE">
        <w:trPr>
          <w:trHeight w:val="1944"/>
        </w:trPr>
        <w:tc>
          <w:tcPr>
            <w:tcW w:w="11199" w:type="dxa"/>
            <w:tcBorders>
              <w:top w:val="single" w:sz="4" w:space="0" w:color="auto"/>
              <w:left w:val="single" w:sz="4" w:space="0" w:color="auto"/>
              <w:bottom w:val="single" w:sz="4" w:space="0" w:color="auto"/>
              <w:right w:val="single" w:sz="4" w:space="0" w:color="auto"/>
            </w:tcBorders>
            <w:hideMark/>
          </w:tcPr>
          <w:p w:rsidR="00EC629D" w:rsidRDefault="00EC629D" w:rsidP="00790ABE">
            <w:r>
              <w:lastRenderedPageBreak/>
              <w:t>Se evaluará  a las alumnas con base a la explicación del docente y al aporte dado por las estudiantes dentro de la construcción del conocimiento.</w:t>
            </w:r>
          </w:p>
        </w:tc>
      </w:tr>
    </w:tbl>
    <w:p w:rsidR="00EC629D" w:rsidRDefault="00EC629D" w:rsidP="00EC629D"/>
    <w:p w:rsidR="00EC629D" w:rsidRDefault="00EC629D" w:rsidP="00EC629D"/>
    <w:p w:rsidR="00EC629D" w:rsidRPr="000F71A9" w:rsidRDefault="00EC629D" w:rsidP="00EC629D"/>
    <w:p w:rsidR="00EC629D" w:rsidRPr="000F71A9" w:rsidRDefault="00EC629D" w:rsidP="000F71A9"/>
    <w:sectPr w:rsidR="00EC629D" w:rsidRPr="000F71A9" w:rsidSect="00453D11">
      <w:headerReference w:type="default" r:id="rId8"/>
      <w:footerReference w:type="default" r:id="rId9"/>
      <w:pgSz w:w="12240" w:h="20160" w:code="5"/>
      <w:pgMar w:top="769" w:right="1701" w:bottom="1417" w:left="1275"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063" w:rsidRDefault="00951063" w:rsidP="00D818A6">
      <w:r>
        <w:separator/>
      </w:r>
    </w:p>
  </w:endnote>
  <w:endnote w:type="continuationSeparator" w:id="1">
    <w:p w:rsidR="00951063" w:rsidRDefault="00951063" w:rsidP="00D818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Pro-LightSemiC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32" w:rsidRDefault="00762705" w:rsidP="009A1032">
    <w:pPr>
      <w:pStyle w:val="Piedepgina"/>
      <w:ind w:left="-1275"/>
    </w:pPr>
    <w:r>
      <w:rPr>
        <w:noProof/>
        <w:lang w:eastAsia="es-CO"/>
      </w:rPr>
      <w:drawing>
        <wp:inline distT="0" distB="0" distL="0" distR="0">
          <wp:extent cx="7732815" cy="2916262"/>
          <wp:effectExtent l="0" t="0" r="0" b="5080"/>
          <wp:docPr id="30" name="Imagen 30" descr="JPG/PLANTILLA%20PROFE_Mesa%20de%20trabajo%201%20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PG/PLANTILLA%20PROFE_Mesa%20de%20trabajo%201%20copia.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20427" cy="2949303"/>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063" w:rsidRDefault="00951063" w:rsidP="00D818A6">
      <w:r>
        <w:separator/>
      </w:r>
    </w:p>
  </w:footnote>
  <w:footnote w:type="continuationSeparator" w:id="1">
    <w:p w:rsidR="00951063" w:rsidRDefault="00951063" w:rsidP="00D818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A6" w:rsidRDefault="0097518C" w:rsidP="009A1032">
    <w:pPr>
      <w:pStyle w:val="Encabezado"/>
      <w:ind w:left="-1701" w:right="-1701"/>
      <w:jc w:val="right"/>
    </w:pPr>
    <w:r>
      <w:rPr>
        <w:noProof/>
        <w:lang w:eastAsia="es-CO"/>
      </w:rPr>
      <w:drawing>
        <wp:inline distT="0" distB="0" distL="0" distR="0">
          <wp:extent cx="7559040" cy="2276389"/>
          <wp:effectExtent l="0" t="0" r="3810" b="0"/>
          <wp:docPr id="31" name="Imagen 31" descr="JPG/PLANTILLA%20PROFE_Mesa%20de%20trabajo%201%20copia%2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JPG/PLANTILLA%20PROFE_Mesa%20de%20trabajo%201%20copia%20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4274" cy="232313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C4FAB"/>
    <w:multiLevelType w:val="hybridMultilevel"/>
    <w:tmpl w:val="448892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C460A37"/>
    <w:multiLevelType w:val="hybridMultilevel"/>
    <w:tmpl w:val="09B60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22E1F3C"/>
    <w:multiLevelType w:val="hybridMultilevel"/>
    <w:tmpl w:val="DE4C98E0"/>
    <w:lvl w:ilvl="0" w:tplc="FF0E622E">
      <w:numFmt w:val="bullet"/>
      <w:lvlText w:val="-"/>
      <w:lvlJc w:val="left"/>
      <w:pPr>
        <w:ind w:left="390" w:hanging="360"/>
      </w:pPr>
      <w:rPr>
        <w:rFonts w:ascii="Calibri" w:eastAsia="Calibri" w:hAnsi="Calibri" w:cs="Calibri" w:hint="default"/>
      </w:rPr>
    </w:lvl>
    <w:lvl w:ilvl="1" w:tplc="240A0003" w:tentative="1">
      <w:start w:val="1"/>
      <w:numFmt w:val="bullet"/>
      <w:lvlText w:val="o"/>
      <w:lvlJc w:val="left"/>
      <w:pPr>
        <w:ind w:left="1110" w:hanging="360"/>
      </w:pPr>
      <w:rPr>
        <w:rFonts w:ascii="Courier New" w:hAnsi="Courier New" w:cs="Courier New" w:hint="default"/>
      </w:rPr>
    </w:lvl>
    <w:lvl w:ilvl="2" w:tplc="240A0005" w:tentative="1">
      <w:start w:val="1"/>
      <w:numFmt w:val="bullet"/>
      <w:lvlText w:val=""/>
      <w:lvlJc w:val="left"/>
      <w:pPr>
        <w:ind w:left="1830" w:hanging="360"/>
      </w:pPr>
      <w:rPr>
        <w:rFonts w:ascii="Wingdings" w:hAnsi="Wingdings" w:hint="default"/>
      </w:rPr>
    </w:lvl>
    <w:lvl w:ilvl="3" w:tplc="240A0001" w:tentative="1">
      <w:start w:val="1"/>
      <w:numFmt w:val="bullet"/>
      <w:lvlText w:val=""/>
      <w:lvlJc w:val="left"/>
      <w:pPr>
        <w:ind w:left="2550" w:hanging="360"/>
      </w:pPr>
      <w:rPr>
        <w:rFonts w:ascii="Symbol" w:hAnsi="Symbol" w:hint="default"/>
      </w:rPr>
    </w:lvl>
    <w:lvl w:ilvl="4" w:tplc="240A0003" w:tentative="1">
      <w:start w:val="1"/>
      <w:numFmt w:val="bullet"/>
      <w:lvlText w:val="o"/>
      <w:lvlJc w:val="left"/>
      <w:pPr>
        <w:ind w:left="3270" w:hanging="360"/>
      </w:pPr>
      <w:rPr>
        <w:rFonts w:ascii="Courier New" w:hAnsi="Courier New" w:cs="Courier New" w:hint="default"/>
      </w:rPr>
    </w:lvl>
    <w:lvl w:ilvl="5" w:tplc="240A0005" w:tentative="1">
      <w:start w:val="1"/>
      <w:numFmt w:val="bullet"/>
      <w:lvlText w:val=""/>
      <w:lvlJc w:val="left"/>
      <w:pPr>
        <w:ind w:left="3990" w:hanging="360"/>
      </w:pPr>
      <w:rPr>
        <w:rFonts w:ascii="Wingdings" w:hAnsi="Wingdings" w:hint="default"/>
      </w:rPr>
    </w:lvl>
    <w:lvl w:ilvl="6" w:tplc="240A0001" w:tentative="1">
      <w:start w:val="1"/>
      <w:numFmt w:val="bullet"/>
      <w:lvlText w:val=""/>
      <w:lvlJc w:val="left"/>
      <w:pPr>
        <w:ind w:left="4710" w:hanging="360"/>
      </w:pPr>
      <w:rPr>
        <w:rFonts w:ascii="Symbol" w:hAnsi="Symbol" w:hint="default"/>
      </w:rPr>
    </w:lvl>
    <w:lvl w:ilvl="7" w:tplc="240A0003" w:tentative="1">
      <w:start w:val="1"/>
      <w:numFmt w:val="bullet"/>
      <w:lvlText w:val="o"/>
      <w:lvlJc w:val="left"/>
      <w:pPr>
        <w:ind w:left="5430" w:hanging="360"/>
      </w:pPr>
      <w:rPr>
        <w:rFonts w:ascii="Courier New" w:hAnsi="Courier New" w:cs="Courier New" w:hint="default"/>
      </w:rPr>
    </w:lvl>
    <w:lvl w:ilvl="8" w:tplc="240A0005" w:tentative="1">
      <w:start w:val="1"/>
      <w:numFmt w:val="bullet"/>
      <w:lvlText w:val=""/>
      <w:lvlJc w:val="left"/>
      <w:pPr>
        <w:ind w:left="615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31746"/>
  </w:hdrShapeDefaults>
  <w:footnotePr>
    <w:footnote w:id="0"/>
    <w:footnote w:id="1"/>
  </w:footnotePr>
  <w:endnotePr>
    <w:endnote w:id="0"/>
    <w:endnote w:id="1"/>
  </w:endnotePr>
  <w:compat/>
  <w:rsids>
    <w:rsidRoot w:val="001C0285"/>
    <w:rsid w:val="000564C5"/>
    <w:rsid w:val="0007518D"/>
    <w:rsid w:val="000767D5"/>
    <w:rsid w:val="000C1DE3"/>
    <w:rsid w:val="000D0961"/>
    <w:rsid w:val="000F71A9"/>
    <w:rsid w:val="00134F55"/>
    <w:rsid w:val="00150187"/>
    <w:rsid w:val="001C0285"/>
    <w:rsid w:val="00217329"/>
    <w:rsid w:val="00236C86"/>
    <w:rsid w:val="00263032"/>
    <w:rsid w:val="003327C2"/>
    <w:rsid w:val="003616D3"/>
    <w:rsid w:val="00387888"/>
    <w:rsid w:val="003F5FBE"/>
    <w:rsid w:val="004310DE"/>
    <w:rsid w:val="00453D11"/>
    <w:rsid w:val="00480322"/>
    <w:rsid w:val="004875D0"/>
    <w:rsid w:val="004D5F84"/>
    <w:rsid w:val="004E0219"/>
    <w:rsid w:val="004E1D86"/>
    <w:rsid w:val="00525876"/>
    <w:rsid w:val="00591204"/>
    <w:rsid w:val="005B2764"/>
    <w:rsid w:val="005B3088"/>
    <w:rsid w:val="00635947"/>
    <w:rsid w:val="00667420"/>
    <w:rsid w:val="006A65AB"/>
    <w:rsid w:val="006E0679"/>
    <w:rsid w:val="0074630F"/>
    <w:rsid w:val="00750B58"/>
    <w:rsid w:val="00762705"/>
    <w:rsid w:val="007653E5"/>
    <w:rsid w:val="00794ECF"/>
    <w:rsid w:val="007A78FC"/>
    <w:rsid w:val="007D5E23"/>
    <w:rsid w:val="007F6B01"/>
    <w:rsid w:val="008014C7"/>
    <w:rsid w:val="008410BD"/>
    <w:rsid w:val="00886192"/>
    <w:rsid w:val="008A4D74"/>
    <w:rsid w:val="008D64C6"/>
    <w:rsid w:val="00900DF6"/>
    <w:rsid w:val="00951063"/>
    <w:rsid w:val="009535F1"/>
    <w:rsid w:val="00966FC8"/>
    <w:rsid w:val="00973F39"/>
    <w:rsid w:val="0097518C"/>
    <w:rsid w:val="009A1032"/>
    <w:rsid w:val="00A6316C"/>
    <w:rsid w:val="00A65FCF"/>
    <w:rsid w:val="00AA38B1"/>
    <w:rsid w:val="00B34322"/>
    <w:rsid w:val="00B83CC5"/>
    <w:rsid w:val="00B92A6B"/>
    <w:rsid w:val="00C418CB"/>
    <w:rsid w:val="00C46B76"/>
    <w:rsid w:val="00C522CD"/>
    <w:rsid w:val="00CE5D40"/>
    <w:rsid w:val="00D64367"/>
    <w:rsid w:val="00D80BEF"/>
    <w:rsid w:val="00D818A6"/>
    <w:rsid w:val="00DC3AA6"/>
    <w:rsid w:val="00DC4CE6"/>
    <w:rsid w:val="00DC7558"/>
    <w:rsid w:val="00DD3B3F"/>
    <w:rsid w:val="00E15DCA"/>
    <w:rsid w:val="00E36644"/>
    <w:rsid w:val="00E76082"/>
    <w:rsid w:val="00EC629D"/>
    <w:rsid w:val="00ED2922"/>
    <w:rsid w:val="00F35C4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8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8A6"/>
    <w:pPr>
      <w:tabs>
        <w:tab w:val="center" w:pos="4419"/>
        <w:tab w:val="right" w:pos="8838"/>
      </w:tabs>
    </w:pPr>
  </w:style>
  <w:style w:type="character" w:customStyle="1" w:styleId="EncabezadoCar">
    <w:name w:val="Encabezado Car"/>
    <w:basedOn w:val="Fuentedeprrafopredeter"/>
    <w:link w:val="Encabezado"/>
    <w:uiPriority w:val="99"/>
    <w:rsid w:val="00D818A6"/>
  </w:style>
  <w:style w:type="paragraph" w:styleId="Piedepgina">
    <w:name w:val="footer"/>
    <w:basedOn w:val="Normal"/>
    <w:link w:val="PiedepginaCar"/>
    <w:uiPriority w:val="99"/>
    <w:unhideWhenUsed/>
    <w:rsid w:val="00D818A6"/>
    <w:pPr>
      <w:tabs>
        <w:tab w:val="center" w:pos="4419"/>
        <w:tab w:val="right" w:pos="8838"/>
      </w:tabs>
    </w:pPr>
  </w:style>
  <w:style w:type="character" w:customStyle="1" w:styleId="PiedepginaCar">
    <w:name w:val="Pie de página Car"/>
    <w:basedOn w:val="Fuentedeprrafopredeter"/>
    <w:link w:val="Piedepgina"/>
    <w:uiPriority w:val="99"/>
    <w:rsid w:val="00D818A6"/>
  </w:style>
  <w:style w:type="paragraph" w:styleId="Textodeglobo">
    <w:name w:val="Balloon Text"/>
    <w:basedOn w:val="Normal"/>
    <w:link w:val="TextodegloboCar"/>
    <w:uiPriority w:val="99"/>
    <w:semiHidden/>
    <w:unhideWhenUsed/>
    <w:rsid w:val="00D818A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818A6"/>
    <w:rPr>
      <w:rFonts w:ascii="Times New Roman" w:hAnsi="Times New Roman" w:cs="Times New Roman"/>
      <w:sz w:val="18"/>
      <w:szCs w:val="18"/>
    </w:rPr>
  </w:style>
  <w:style w:type="paragraph" w:styleId="Ttulo">
    <w:name w:val="Title"/>
    <w:basedOn w:val="Normal"/>
    <w:next w:val="Normal"/>
    <w:link w:val="TtuloCar"/>
    <w:uiPriority w:val="10"/>
    <w:qFormat/>
    <w:rsid w:val="005B276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2764"/>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4E021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D64C6"/>
    <w:pPr>
      <w:spacing w:after="200" w:line="276" w:lineRule="auto"/>
      <w:ind w:left="720"/>
      <w:contextualSpacing/>
    </w:pPr>
    <w:rPr>
      <w:rFonts w:ascii="Calibri" w:eastAsia="Calibri" w:hAnsi="Calibri" w:cs="Times New Roman"/>
      <w:sz w:val="22"/>
      <w:szCs w:val="22"/>
      <w:lang w:val="es-ES"/>
    </w:rPr>
  </w:style>
</w:styles>
</file>

<file path=word/webSettings.xml><?xml version="1.0" encoding="utf-8"?>
<w:webSettings xmlns:r="http://schemas.openxmlformats.org/officeDocument/2006/relationships" xmlns:w="http://schemas.openxmlformats.org/wordprocessingml/2006/main">
  <w:divs>
    <w:div w:id="167414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67C59-C550-4BA0-A5DC-00A0B831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815</Words>
  <Characters>4488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Peláez</dc:creator>
  <cp:lastModifiedBy>Fabio Ivan</cp:lastModifiedBy>
  <cp:revision>29</cp:revision>
  <dcterms:created xsi:type="dcterms:W3CDTF">2020-07-01T13:10:00Z</dcterms:created>
  <dcterms:modified xsi:type="dcterms:W3CDTF">2020-09-17T15:15:00Z</dcterms:modified>
</cp:coreProperties>
</file>